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B9CC8" w14:textId="3A8E74A6" w:rsidR="00527192" w:rsidRPr="00B36AED" w:rsidRDefault="00527192" w:rsidP="00527192">
      <w:pPr>
        <w:tabs>
          <w:tab w:val="left" w:pos="1985"/>
        </w:tabs>
        <w:spacing w:after="0"/>
        <w:jc w:val="both"/>
        <w:rPr>
          <w:rFonts w:ascii="Arial" w:hAnsi="Arial" w:cs="Arial"/>
          <w:b/>
          <w:bCs/>
          <w:sz w:val="24"/>
        </w:rPr>
      </w:pPr>
      <w:r w:rsidRPr="00B36AED">
        <w:rPr>
          <w:rFonts w:ascii="Arial" w:hAnsi="Arial" w:cs="Arial"/>
          <w:b/>
          <w:bCs/>
          <w:sz w:val="24"/>
        </w:rPr>
        <w:t>3GPP TSG RAN WG1 Meeting #9</w:t>
      </w:r>
      <w:r w:rsidR="000F61A6">
        <w:rPr>
          <w:rFonts w:ascii="Arial" w:hAnsi="Arial" w:cs="Arial"/>
          <w:b/>
          <w:bCs/>
          <w:sz w:val="24"/>
        </w:rPr>
        <w:t>4</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1055B3">
        <w:rPr>
          <w:rFonts w:ascii="Arial" w:hAnsi="Arial" w:cs="Arial"/>
          <w:b/>
          <w:bCs/>
          <w:sz w:val="24"/>
        </w:rPr>
        <w:t>08720</w:t>
      </w:r>
      <w:bookmarkStart w:id="0" w:name="_GoBack"/>
      <w:bookmarkEnd w:id="0"/>
    </w:p>
    <w:p w14:paraId="600A7979" w14:textId="40DD9CA9" w:rsidR="00527192" w:rsidRPr="00B36AED" w:rsidRDefault="000F61A6" w:rsidP="00527192">
      <w:pPr>
        <w:tabs>
          <w:tab w:val="left" w:pos="1985"/>
        </w:tabs>
        <w:spacing w:after="0"/>
        <w:jc w:val="both"/>
        <w:rPr>
          <w:rFonts w:ascii="Arial" w:hAnsi="Arial" w:cs="Arial"/>
          <w:b/>
          <w:bCs/>
          <w:sz w:val="24"/>
        </w:rPr>
      </w:pPr>
      <w:r w:rsidRPr="000F61A6">
        <w:rPr>
          <w:rFonts w:ascii="Arial" w:hAnsi="Arial" w:cs="Arial"/>
          <w:b/>
          <w:bCs/>
          <w:sz w:val="24"/>
        </w:rPr>
        <w:t>Gothenburg, S</w:t>
      </w:r>
      <w:r w:rsidR="0090162A">
        <w:rPr>
          <w:rFonts w:ascii="Arial" w:hAnsi="Arial" w:cs="Arial"/>
          <w:b/>
          <w:bCs/>
          <w:sz w:val="24"/>
        </w:rPr>
        <w:t>weden, August 20th – 24th, 2018</w:t>
      </w:r>
      <w:r w:rsidR="00527192" w:rsidRPr="00B36AED">
        <w:rPr>
          <w:rFonts w:ascii="Arial" w:hAnsi="Arial" w:cs="Arial"/>
          <w:b/>
          <w:bCs/>
          <w:sz w:val="24"/>
        </w:rPr>
        <w:t xml:space="preserve"> </w:t>
      </w:r>
    </w:p>
    <w:p w14:paraId="0877B945" w14:textId="77777777" w:rsidR="004B4372" w:rsidRPr="00527192" w:rsidRDefault="004B4372" w:rsidP="004B4372">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98E664F"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D32E8">
        <w:rPr>
          <w:rFonts w:ascii="Arial" w:eastAsia="Malgun Gothic" w:hAnsi="Arial" w:cs="Arial"/>
          <w:b/>
          <w:sz w:val="24"/>
          <w:lang w:val="en-US" w:eastAsia="ko-KR"/>
        </w:rPr>
        <w:t xml:space="preserve">On </w:t>
      </w:r>
      <w:r w:rsidR="00617646">
        <w:rPr>
          <w:rFonts w:ascii="Arial" w:eastAsia="Malgun Gothic" w:hAnsi="Arial" w:cs="Arial"/>
          <w:b/>
          <w:sz w:val="24"/>
          <w:lang w:val="en-US" w:eastAsia="ko-KR"/>
        </w:rPr>
        <w:t>SCell Beam Failure Recovery</w:t>
      </w:r>
    </w:p>
    <w:p w14:paraId="442797E2" w14:textId="6EF98B62"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1E7A5711" w:rsidR="009A0886" w:rsidRDefault="001A6756" w:rsidP="00026770">
      <w:pPr>
        <w:ind w:firstLine="284"/>
        <w:jc w:val="both"/>
        <w:rPr>
          <w:sz w:val="22"/>
          <w:szCs w:val="22"/>
          <w:lang w:eastAsia="zh-CN"/>
        </w:rPr>
      </w:pPr>
      <w:r>
        <w:rPr>
          <w:sz w:val="22"/>
          <w:szCs w:val="22"/>
          <w:lang w:eastAsia="zh-CN"/>
        </w:rPr>
        <w:t xml:space="preserve">In </w:t>
      </w:r>
      <w:r w:rsidR="001D32E8">
        <w:rPr>
          <w:sz w:val="22"/>
          <w:szCs w:val="22"/>
          <w:lang w:eastAsia="zh-CN"/>
        </w:rPr>
        <w:t xml:space="preserve">RAN #80 meeting, a new </w:t>
      </w:r>
      <w:r w:rsidR="00CC60AA">
        <w:rPr>
          <w:sz w:val="22"/>
          <w:szCs w:val="22"/>
          <w:lang w:eastAsia="zh-CN"/>
        </w:rPr>
        <w:t>WI on MIMO</w:t>
      </w:r>
      <w:r w:rsidR="001D32E8">
        <w:rPr>
          <w:sz w:val="22"/>
          <w:szCs w:val="22"/>
          <w:lang w:eastAsia="zh-CN"/>
        </w:rPr>
        <w:t xml:space="preserve"> has been approv</w:t>
      </w:r>
      <w:r w:rsidR="00CC60AA">
        <w:rPr>
          <w:sz w:val="22"/>
          <w:szCs w:val="22"/>
          <w:lang w:eastAsia="zh-CN"/>
        </w:rPr>
        <w:t>ed. [1] The objective for this W</w:t>
      </w:r>
      <w:r w:rsidR="001D32E8">
        <w:rPr>
          <w:sz w:val="22"/>
          <w:szCs w:val="22"/>
          <w:lang w:eastAsia="zh-CN"/>
        </w:rPr>
        <w:t>I is as follows.</w:t>
      </w:r>
    </w:p>
    <w:p w14:paraId="53EFC1D8" w14:textId="742D14B4" w:rsidR="001D32E8" w:rsidRDefault="001D32E8" w:rsidP="00026770">
      <w:pPr>
        <w:ind w:firstLine="284"/>
        <w:jc w:val="both"/>
        <w:rPr>
          <w:sz w:val="22"/>
          <w:szCs w:val="22"/>
          <w:lang w:eastAsia="zh-CN"/>
        </w:rPr>
      </w:pPr>
      <w:r w:rsidRPr="001D32E8">
        <w:rPr>
          <w:noProof/>
          <w:sz w:val="22"/>
          <w:szCs w:val="22"/>
          <w:lang w:val="en-US" w:eastAsia="zh-CN"/>
        </w:rPr>
        <mc:AlternateContent>
          <mc:Choice Requires="wps">
            <w:drawing>
              <wp:inline distT="0" distB="0" distL="0" distR="0" wp14:anchorId="6E7505BF" wp14:editId="50139D6B">
                <wp:extent cx="6225540" cy="1404620"/>
                <wp:effectExtent l="0" t="0" r="2286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1404620"/>
                        </a:xfrm>
                        <a:prstGeom prst="rect">
                          <a:avLst/>
                        </a:prstGeom>
                        <a:solidFill>
                          <a:srgbClr val="FFFFFF"/>
                        </a:solidFill>
                        <a:ln w="9525">
                          <a:solidFill>
                            <a:srgbClr val="000000"/>
                          </a:solidFill>
                          <a:miter lim="800000"/>
                          <a:headEnd/>
                          <a:tailEnd/>
                        </a:ln>
                      </wps:spPr>
                      <wps:txbx>
                        <w:txbxContent>
                          <w:p w14:paraId="63AADB70" w14:textId="77777777" w:rsidR="00B90890" w:rsidRPr="00401C76" w:rsidRDefault="00B90890" w:rsidP="00CC60AA">
                            <w:pPr>
                              <w:spacing w:after="0"/>
                              <w:rPr>
                                <w:lang w:eastAsia="ko-KR"/>
                              </w:rPr>
                            </w:pPr>
                            <w:r w:rsidRPr="00401C76">
                              <w:rPr>
                                <w:lang w:eastAsia="ko-KR"/>
                              </w:rPr>
                              <w:t xml:space="preserve">The work item aims to specify the enhancements identified for NR MIMO. The detailed objectives are as follows. </w:t>
                            </w:r>
                          </w:p>
                          <w:p w14:paraId="2CB155F1" w14:textId="77777777" w:rsidR="00B90890" w:rsidRPr="00401C76" w:rsidRDefault="00B90890" w:rsidP="00CC60AA">
                            <w:pPr>
                              <w:spacing w:after="0"/>
                              <w:rPr>
                                <w:bCs/>
                              </w:rPr>
                            </w:pPr>
                          </w:p>
                          <w:p w14:paraId="2A3ADADD" w14:textId="77777777" w:rsidR="00B90890" w:rsidRPr="00401C76" w:rsidRDefault="00B90890" w:rsidP="00CC60AA">
                            <w:pPr>
                              <w:numPr>
                                <w:ilvl w:val="0"/>
                                <w:numId w:val="61"/>
                              </w:numPr>
                              <w:snapToGrid w:val="0"/>
                              <w:spacing w:after="120"/>
                              <w:ind w:right="-99"/>
                              <w:textAlignment w:val="auto"/>
                              <w:rPr>
                                <w:color w:val="000000"/>
                                <w:lang w:eastAsia="ko-KR"/>
                              </w:rPr>
                            </w:pPr>
                            <w:r w:rsidRPr="00401C76">
                              <w:rPr>
                                <w:color w:val="000000"/>
                                <w:lang w:eastAsia="ko-KR"/>
                              </w:rPr>
                              <w:t>Extend specification support in the following areas [RAN1]</w:t>
                            </w:r>
                          </w:p>
                          <w:p w14:paraId="2EEB21BC" w14:textId="77777777" w:rsidR="00B90890" w:rsidRPr="00401C76" w:rsidRDefault="00B90890" w:rsidP="00CC60AA">
                            <w:pPr>
                              <w:numPr>
                                <w:ilvl w:val="1"/>
                                <w:numId w:val="61"/>
                              </w:numPr>
                              <w:snapToGrid w:val="0"/>
                              <w:spacing w:after="120"/>
                              <w:ind w:right="-99"/>
                              <w:textAlignment w:val="auto"/>
                              <w:rPr>
                                <w:lang w:eastAsia="ko-KR"/>
                              </w:rPr>
                            </w:pPr>
                            <w:r w:rsidRPr="00401C76">
                              <w:rPr>
                                <w:color w:val="000000"/>
                                <w:lang w:eastAsia="ko-KR"/>
                              </w:rPr>
                              <w:t>Enhancements on MU-MIMO support:</w:t>
                            </w:r>
                          </w:p>
                          <w:p w14:paraId="0D79EDC9" w14:textId="77777777" w:rsidR="00B90890" w:rsidRPr="00401C76" w:rsidRDefault="00B90890" w:rsidP="00CC60AA">
                            <w:pPr>
                              <w:numPr>
                                <w:ilvl w:val="2"/>
                                <w:numId w:val="61"/>
                              </w:numPr>
                              <w:snapToGrid w:val="0"/>
                              <w:spacing w:after="120"/>
                              <w:ind w:right="-99"/>
                              <w:textAlignment w:val="auto"/>
                              <w:rPr>
                                <w:lang w:eastAsia="ko-KR"/>
                              </w:rPr>
                            </w:pPr>
                            <w:r w:rsidRPr="00401C76">
                              <w:rPr>
                                <w:lang w:eastAsia="ko-KR"/>
                              </w:rPr>
                              <w:t>Specify overhead reduction, based on Type II CSI feedback</w:t>
                            </w:r>
                            <w:r w:rsidRPr="0054092F">
                              <w:rPr>
                                <w:rFonts w:eastAsia="Malgun Gothic" w:hint="eastAsia"/>
                                <w:lang w:eastAsia="ko-KR"/>
                              </w:rPr>
                              <w:t xml:space="preserve">, taking into account the </w:t>
                            </w:r>
                            <w:proofErr w:type="spellStart"/>
                            <w:r w:rsidRPr="0054092F">
                              <w:rPr>
                                <w:rFonts w:eastAsia="Malgun Gothic" w:hint="eastAsia"/>
                                <w:lang w:eastAsia="ko-KR"/>
                              </w:rPr>
                              <w:t>tradeoff</w:t>
                            </w:r>
                            <w:proofErr w:type="spellEnd"/>
                            <w:r w:rsidRPr="0054092F">
                              <w:rPr>
                                <w:rFonts w:eastAsia="Malgun Gothic" w:hint="eastAsia"/>
                                <w:lang w:eastAsia="ko-KR"/>
                              </w:rPr>
                              <w:t xml:space="preserve"> between performance and overhead</w:t>
                            </w:r>
                            <w:r w:rsidRPr="00401C76">
                              <w:rPr>
                                <w:rFonts w:eastAsia="Malgun Gothic" w:hint="eastAsia"/>
                                <w:lang w:eastAsia="ko-KR"/>
                              </w:rPr>
                              <w:t xml:space="preserve"> </w:t>
                            </w:r>
                          </w:p>
                          <w:p w14:paraId="19A3EC3F" w14:textId="77777777" w:rsidR="00B90890" w:rsidRPr="00401C76" w:rsidRDefault="00B90890"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 xml:space="preserve">extension of Type II CSI feedback to rank &gt;2 </w:t>
                            </w:r>
                            <w:r w:rsidRPr="00401C76">
                              <w:rPr>
                                <w:rFonts w:eastAsia="Malgun Gothic" w:hint="eastAsia"/>
                                <w:lang w:eastAsia="ko-KR"/>
                              </w:rPr>
                              <w:t xml:space="preserve"> </w:t>
                            </w:r>
                          </w:p>
                          <w:p w14:paraId="40AAF784" w14:textId="77777777" w:rsidR="00B90890" w:rsidRPr="00401C76" w:rsidRDefault="00B90890" w:rsidP="00CC60AA">
                            <w:pPr>
                              <w:numPr>
                                <w:ilvl w:val="1"/>
                                <w:numId w:val="61"/>
                              </w:numPr>
                              <w:snapToGrid w:val="0"/>
                              <w:spacing w:after="120"/>
                              <w:ind w:right="-99"/>
                              <w:textAlignment w:val="auto"/>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14:paraId="79E6597E" w14:textId="77777777" w:rsidR="00B90890" w:rsidRPr="00401C76" w:rsidRDefault="00B90890" w:rsidP="00CC60AA">
                            <w:pPr>
                              <w:numPr>
                                <w:ilvl w:val="2"/>
                                <w:numId w:val="61"/>
                              </w:numPr>
                              <w:snapToGrid w:val="0"/>
                              <w:spacing w:after="120"/>
                              <w:ind w:right="-99"/>
                              <w:textAlignment w:val="auto"/>
                              <w:rPr>
                                <w:lang w:eastAsia="ko-KR"/>
                              </w:rPr>
                            </w:pPr>
                            <w:r w:rsidRPr="00401C76">
                              <w:rPr>
                                <w:lang w:eastAsia="ko-KR"/>
                              </w:rPr>
                              <w:t>Specify downlink control signalling enhancement</w:t>
                            </w:r>
                            <w:r w:rsidRPr="00401C76">
                              <w:rPr>
                                <w:rFonts w:eastAsia="Malgun Gothic" w:hint="eastAsia"/>
                                <w:lang w:eastAsia="ko-KR"/>
                              </w:rPr>
                              <w:t>(s)</w:t>
                            </w:r>
                            <w:r w:rsidRPr="00401C76">
                              <w:rPr>
                                <w:lang w:eastAsia="ko-KR"/>
                              </w:rPr>
                              <w:t xml:space="preserve"> for efficient support of non-coherent joint transmission</w:t>
                            </w:r>
                          </w:p>
                          <w:p w14:paraId="15042F1C" w14:textId="77777777" w:rsidR="00B90890" w:rsidRPr="00401C76" w:rsidRDefault="00B90890"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eastAsia="Malgun Gothic" w:hint="eastAsia"/>
                                <w:lang w:eastAsia="ko-KR"/>
                              </w:rPr>
                              <w:t xml:space="preserve">enhancements on uplink control signalling </w:t>
                            </w:r>
                            <w:r w:rsidRPr="00401C76">
                              <w:rPr>
                                <w:lang w:eastAsia="ko-KR"/>
                              </w:rPr>
                              <w:t>and/or reference signal(s)</w:t>
                            </w:r>
                            <w:r w:rsidRPr="00401C76">
                              <w:rPr>
                                <w:rFonts w:eastAsia="Malgun Gothic" w:hint="eastAsia"/>
                                <w:lang w:eastAsia="ko-KR"/>
                              </w:rPr>
                              <w:t xml:space="preserve"> </w:t>
                            </w:r>
                            <w:r w:rsidRPr="00401C76">
                              <w:rPr>
                                <w:lang w:eastAsia="ko-KR"/>
                              </w:rPr>
                              <w:t>for non-coherent joint transmission</w:t>
                            </w:r>
                          </w:p>
                          <w:p w14:paraId="5C901438" w14:textId="77777777" w:rsidR="00B90890" w:rsidRPr="00401C76" w:rsidRDefault="00B90890" w:rsidP="00CC60AA">
                            <w:pPr>
                              <w:numPr>
                                <w:ilvl w:val="1"/>
                                <w:numId w:val="61"/>
                              </w:numPr>
                              <w:snapToGrid w:val="0"/>
                              <w:spacing w:after="120"/>
                              <w:ind w:right="-99"/>
                              <w:textAlignment w:val="auto"/>
                              <w:rPr>
                                <w:lang w:eastAsia="ko-KR"/>
                              </w:rPr>
                            </w:pPr>
                            <w:r w:rsidRPr="00401C76">
                              <w:rPr>
                                <w:lang w:eastAsia="ko-KR"/>
                              </w:rPr>
                              <w:t xml:space="preserve">Enhancements on multi-beam operation, primarily targeting </w:t>
                            </w:r>
                            <w:r w:rsidRPr="007729DC">
                              <w:rPr>
                                <w:rFonts w:eastAsia="Malgun Gothic" w:hint="eastAsia"/>
                                <w:lang w:eastAsia="ko-KR"/>
                              </w:rPr>
                              <w:t>FR2</w:t>
                            </w:r>
                            <w:r w:rsidRPr="00401C76">
                              <w:rPr>
                                <w:lang w:eastAsia="ko-KR"/>
                              </w:rPr>
                              <w:t xml:space="preserve"> operation:</w:t>
                            </w:r>
                          </w:p>
                          <w:p w14:paraId="1E649A63" w14:textId="77777777" w:rsidR="00B90890" w:rsidRPr="00401C76" w:rsidRDefault="00B90890"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14838CFA" w14:textId="77777777" w:rsidR="00B90890" w:rsidRPr="00401C76" w:rsidRDefault="00B90890" w:rsidP="00CC60AA">
                            <w:pPr>
                              <w:numPr>
                                <w:ilvl w:val="2"/>
                                <w:numId w:val="61"/>
                              </w:numPr>
                              <w:snapToGrid w:val="0"/>
                              <w:spacing w:after="120"/>
                              <w:ind w:right="-99"/>
                              <w:textAlignment w:val="auto"/>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15C41177" w14:textId="77777777" w:rsidR="00B90890" w:rsidRPr="001B2960" w:rsidRDefault="00B90890" w:rsidP="00CC60AA">
                            <w:pPr>
                              <w:numPr>
                                <w:ilvl w:val="2"/>
                                <w:numId w:val="61"/>
                              </w:numPr>
                              <w:snapToGrid w:val="0"/>
                              <w:spacing w:after="120"/>
                              <w:ind w:right="-99"/>
                              <w:textAlignment w:val="auto"/>
                              <w:rPr>
                                <w:lang w:eastAsia="ko-KR"/>
                              </w:rPr>
                            </w:pPr>
                            <w:r w:rsidRPr="00401C76">
                              <w:rPr>
                                <w:rFonts w:hint="eastAsia"/>
                                <w:lang w:eastAsia="ko-KR"/>
                              </w:rPr>
                              <w:t>Specify a beam failure recovery for SCell based on the beam failure recovery specified in Rel-15</w:t>
                            </w:r>
                          </w:p>
                          <w:p w14:paraId="1DDEB004" w14:textId="77777777" w:rsidR="00B90890" w:rsidRPr="00401C76" w:rsidRDefault="00B90890" w:rsidP="00CC60AA">
                            <w:pPr>
                              <w:numPr>
                                <w:ilvl w:val="2"/>
                                <w:numId w:val="61"/>
                              </w:numPr>
                              <w:snapToGrid w:val="0"/>
                              <w:spacing w:after="120"/>
                              <w:ind w:right="-99"/>
                              <w:textAlignment w:val="auto"/>
                              <w:rPr>
                                <w:lang w:eastAsia="ko-KR"/>
                              </w:rPr>
                            </w:pPr>
                            <w:r w:rsidRPr="00FF6E4F">
                              <w:rPr>
                                <w:rFonts w:eastAsia="Malgun Gothic" w:hint="eastAsia"/>
                                <w:lang w:eastAsia="ko-KR"/>
                              </w:rPr>
                              <w:t>Specify measurement and reporting of either L1-RSRQ or L1-SINR</w:t>
                            </w:r>
                          </w:p>
                          <w:p w14:paraId="03133C42" w14:textId="77777777" w:rsidR="00B90890" w:rsidRPr="00401C76" w:rsidRDefault="00B90890" w:rsidP="00CC60AA">
                            <w:pPr>
                              <w:numPr>
                                <w:ilvl w:val="1"/>
                                <w:numId w:val="61"/>
                              </w:numPr>
                              <w:snapToGrid w:val="0"/>
                              <w:spacing w:after="120"/>
                              <w:ind w:right="-99"/>
                              <w:textAlignment w:val="auto"/>
                              <w:rPr>
                                <w:lang w:eastAsia="ko-KR"/>
                              </w:rPr>
                            </w:pPr>
                            <w:r w:rsidRPr="00401C76">
                              <w:rPr>
                                <w:rFonts w:eastAsia="Malgun Gothic" w:hint="eastAsia"/>
                                <w:lang w:eastAsia="ko-KR"/>
                              </w:rPr>
                              <w:t xml:space="preserve">Perform study and make conclusion in the first RAN1 meeting after </w:t>
                            </w:r>
                            <w:r>
                              <w:rPr>
                                <w:rFonts w:eastAsia="Malgun Gothic" w:hint="eastAsia"/>
                                <w:lang w:eastAsia="ko-KR"/>
                              </w:rPr>
                              <w:t>start</w:t>
                            </w:r>
                            <w:r w:rsidRPr="00401C76">
                              <w:rPr>
                                <w:rFonts w:eastAsia="Malgun Gothic" w:hint="eastAsia"/>
                                <w:lang w:eastAsia="ko-KR"/>
                              </w:rPr>
                              <w:t xml:space="preserve"> of the WI, and if needed, specify </w:t>
                            </w:r>
                            <w:r w:rsidRPr="00401C76">
                              <w:t>CSI-RS</w:t>
                            </w:r>
                            <w:r w:rsidRPr="00401C76">
                              <w:rPr>
                                <w:rFonts w:eastAsia="Malgun Gothic" w:hint="eastAsia"/>
                                <w:lang w:eastAsia="ko-KR"/>
                              </w:rPr>
                              <w:t xml:space="preserve"> and </w:t>
                            </w:r>
                            <w:r w:rsidRPr="00401C76">
                              <w:t>DMRS</w:t>
                            </w:r>
                            <w:r w:rsidRPr="00401C76">
                              <w:rPr>
                                <w:rFonts w:eastAsia="Malgun Gothic" w:hint="eastAsia"/>
                                <w:lang w:eastAsia="ko-KR"/>
                              </w:rPr>
                              <w:t xml:space="preserve"> (both downlink and uplink) </w:t>
                            </w:r>
                            <w:r w:rsidRPr="008E2A04">
                              <w:rPr>
                                <w:rFonts w:eastAsia="Malgun Gothic" w:hint="eastAsia"/>
                                <w:lang w:eastAsia="ko-KR"/>
                              </w:rPr>
                              <w:t>enhancement</w:t>
                            </w:r>
                            <w:r>
                              <w:rPr>
                                <w:rFonts w:eastAsia="Malgun Gothic" w:hint="eastAsia"/>
                                <w:lang w:eastAsia="ko-KR"/>
                              </w:rPr>
                              <w:t xml:space="preserve"> </w:t>
                            </w:r>
                            <w:r w:rsidRPr="00401C76">
                              <w:rPr>
                                <w:rFonts w:eastAsia="Malgun Gothic" w:hint="eastAsia"/>
                                <w:lang w:eastAsia="ko-KR"/>
                              </w:rPr>
                              <w:t xml:space="preserve">for PAPR reduction for one or multiple layers (no </w:t>
                            </w:r>
                            <w:r w:rsidRPr="00401C76">
                              <w:rPr>
                                <w:rFonts w:eastAsia="Malgun Gothic"/>
                                <w:lang w:eastAsia="ko-KR"/>
                              </w:rPr>
                              <w:t>change</w:t>
                            </w:r>
                            <w:r w:rsidRPr="00401C76">
                              <w:rPr>
                                <w:rFonts w:eastAsia="Malgun Gothic" w:hint="eastAsia"/>
                                <w:lang w:eastAsia="ko-KR"/>
                              </w:rPr>
                              <w:t xml:space="preserve"> on RE mapping specified in Rel-15)</w:t>
                            </w:r>
                          </w:p>
                          <w:p w14:paraId="13FB694D" w14:textId="77777777" w:rsidR="00B90890" w:rsidRPr="00401C76" w:rsidRDefault="00B90890" w:rsidP="00CC60AA">
                            <w:pPr>
                              <w:numPr>
                                <w:ilvl w:val="1"/>
                                <w:numId w:val="61"/>
                              </w:numPr>
                              <w:snapToGrid w:val="0"/>
                              <w:spacing w:after="120"/>
                              <w:ind w:right="-99"/>
                              <w:textAlignment w:val="auto"/>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txbxContent>
                      </wps:txbx>
                      <wps:bodyPr rot="0" vert="horz" wrap="square" lIns="91440" tIns="45720" rIns="91440" bIns="45720" anchor="t" anchorCtr="0">
                        <a:spAutoFit/>
                      </wps:bodyPr>
                    </wps:wsp>
                  </a:graphicData>
                </a:graphic>
              </wp:inline>
            </w:drawing>
          </mc:Choice>
          <mc:Fallback>
            <w:pict>
              <v:shapetype w14:anchorId="6E7505BF" id="_x0000_t202" coordsize="21600,21600" o:spt="202" path="m,l,21600r21600,l21600,xe">
                <v:stroke joinstyle="miter"/>
                <v:path gradientshapeok="t" o:connecttype="rect"/>
              </v:shapetype>
              <v:shape id="Text Box 2" o:spid="_x0000_s1026" type="#_x0000_t202" style="width:49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">
                <v:textbox style="mso-fit-shape-to-text:t">
                  <w:txbxContent>
                    <w:p w14:paraId="63AADB70" w14:textId="77777777" w:rsidR="00B90890" w:rsidRPr="00401C76" w:rsidRDefault="00B90890" w:rsidP="00CC60AA">
                      <w:pPr>
                        <w:spacing w:after="0"/>
                        <w:rPr>
                          <w:lang w:eastAsia="ko-KR"/>
                        </w:rPr>
                      </w:pPr>
                      <w:r w:rsidRPr="00401C76">
                        <w:rPr>
                          <w:lang w:eastAsia="ko-KR"/>
                        </w:rPr>
                        <w:t xml:space="preserve">The work item aims to specify the enhancements identified for NR MIMO. The detailed objectives are as follows. </w:t>
                      </w:r>
                    </w:p>
                    <w:p w14:paraId="2CB155F1" w14:textId="77777777" w:rsidR="00B90890" w:rsidRPr="00401C76" w:rsidRDefault="00B90890" w:rsidP="00CC60AA">
                      <w:pPr>
                        <w:spacing w:after="0"/>
                        <w:rPr>
                          <w:bCs/>
                        </w:rPr>
                      </w:pPr>
                    </w:p>
                    <w:p w14:paraId="2A3ADADD" w14:textId="77777777" w:rsidR="00B90890" w:rsidRPr="00401C76" w:rsidRDefault="00B90890" w:rsidP="00CC60AA">
                      <w:pPr>
                        <w:numPr>
                          <w:ilvl w:val="0"/>
                          <w:numId w:val="61"/>
                        </w:numPr>
                        <w:snapToGrid w:val="0"/>
                        <w:spacing w:after="120"/>
                        <w:ind w:right="-99"/>
                        <w:textAlignment w:val="auto"/>
                        <w:rPr>
                          <w:color w:val="000000"/>
                          <w:lang w:eastAsia="ko-KR"/>
                        </w:rPr>
                      </w:pPr>
                      <w:r w:rsidRPr="00401C76">
                        <w:rPr>
                          <w:color w:val="000000"/>
                          <w:lang w:eastAsia="ko-KR"/>
                        </w:rPr>
                        <w:t>Extend specification support in the following areas [RAN1]</w:t>
                      </w:r>
                    </w:p>
                    <w:p w14:paraId="2EEB21BC" w14:textId="77777777" w:rsidR="00B90890" w:rsidRPr="00401C76" w:rsidRDefault="00B90890" w:rsidP="00CC60AA">
                      <w:pPr>
                        <w:numPr>
                          <w:ilvl w:val="1"/>
                          <w:numId w:val="61"/>
                        </w:numPr>
                        <w:snapToGrid w:val="0"/>
                        <w:spacing w:after="120"/>
                        <w:ind w:right="-99"/>
                        <w:textAlignment w:val="auto"/>
                        <w:rPr>
                          <w:lang w:eastAsia="ko-KR"/>
                        </w:rPr>
                      </w:pPr>
                      <w:r w:rsidRPr="00401C76">
                        <w:rPr>
                          <w:color w:val="000000"/>
                          <w:lang w:eastAsia="ko-KR"/>
                        </w:rPr>
                        <w:t>Enhancements on MU-MIMO support:</w:t>
                      </w:r>
                    </w:p>
                    <w:p w14:paraId="0D79EDC9" w14:textId="77777777" w:rsidR="00B90890" w:rsidRPr="00401C76" w:rsidRDefault="00B90890" w:rsidP="00CC60AA">
                      <w:pPr>
                        <w:numPr>
                          <w:ilvl w:val="2"/>
                          <w:numId w:val="61"/>
                        </w:numPr>
                        <w:snapToGrid w:val="0"/>
                        <w:spacing w:after="120"/>
                        <w:ind w:right="-99"/>
                        <w:textAlignment w:val="auto"/>
                        <w:rPr>
                          <w:lang w:eastAsia="ko-KR"/>
                        </w:rPr>
                      </w:pPr>
                      <w:r w:rsidRPr="00401C76">
                        <w:rPr>
                          <w:lang w:eastAsia="ko-KR"/>
                        </w:rPr>
                        <w:t>Specify overhead reduction, based on Type II CSI feedback</w:t>
                      </w:r>
                      <w:r w:rsidRPr="0054092F">
                        <w:rPr>
                          <w:rFonts w:eastAsia="Malgun Gothic" w:hint="eastAsia"/>
                          <w:lang w:eastAsia="ko-KR"/>
                        </w:rPr>
                        <w:t xml:space="preserve">, taking into account the </w:t>
                      </w:r>
                      <w:proofErr w:type="spellStart"/>
                      <w:r w:rsidRPr="0054092F">
                        <w:rPr>
                          <w:rFonts w:eastAsia="Malgun Gothic" w:hint="eastAsia"/>
                          <w:lang w:eastAsia="ko-KR"/>
                        </w:rPr>
                        <w:t>tradeoff</w:t>
                      </w:r>
                      <w:proofErr w:type="spellEnd"/>
                      <w:r w:rsidRPr="0054092F">
                        <w:rPr>
                          <w:rFonts w:eastAsia="Malgun Gothic" w:hint="eastAsia"/>
                          <w:lang w:eastAsia="ko-KR"/>
                        </w:rPr>
                        <w:t xml:space="preserve"> between performance and overhead</w:t>
                      </w:r>
                      <w:r w:rsidRPr="00401C76">
                        <w:rPr>
                          <w:rFonts w:eastAsia="Malgun Gothic" w:hint="eastAsia"/>
                          <w:lang w:eastAsia="ko-KR"/>
                        </w:rPr>
                        <w:t xml:space="preserve"> </w:t>
                      </w:r>
                    </w:p>
                    <w:p w14:paraId="19A3EC3F" w14:textId="77777777" w:rsidR="00B90890" w:rsidRPr="00401C76" w:rsidRDefault="00B90890"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 xml:space="preserve">extension of Type II CSI feedback to rank &gt;2 </w:t>
                      </w:r>
                      <w:r w:rsidRPr="00401C76">
                        <w:rPr>
                          <w:rFonts w:eastAsia="Malgun Gothic" w:hint="eastAsia"/>
                          <w:lang w:eastAsia="ko-KR"/>
                        </w:rPr>
                        <w:t xml:space="preserve"> </w:t>
                      </w:r>
                    </w:p>
                    <w:p w14:paraId="40AAF784" w14:textId="77777777" w:rsidR="00B90890" w:rsidRPr="00401C76" w:rsidRDefault="00B90890" w:rsidP="00CC60AA">
                      <w:pPr>
                        <w:numPr>
                          <w:ilvl w:val="1"/>
                          <w:numId w:val="61"/>
                        </w:numPr>
                        <w:snapToGrid w:val="0"/>
                        <w:spacing w:after="120"/>
                        <w:ind w:right="-99"/>
                        <w:textAlignment w:val="auto"/>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14:paraId="79E6597E" w14:textId="77777777" w:rsidR="00B90890" w:rsidRPr="00401C76" w:rsidRDefault="00B90890" w:rsidP="00CC60AA">
                      <w:pPr>
                        <w:numPr>
                          <w:ilvl w:val="2"/>
                          <w:numId w:val="61"/>
                        </w:numPr>
                        <w:snapToGrid w:val="0"/>
                        <w:spacing w:after="120"/>
                        <w:ind w:right="-99"/>
                        <w:textAlignment w:val="auto"/>
                        <w:rPr>
                          <w:lang w:eastAsia="ko-KR"/>
                        </w:rPr>
                      </w:pPr>
                      <w:r w:rsidRPr="00401C76">
                        <w:rPr>
                          <w:lang w:eastAsia="ko-KR"/>
                        </w:rPr>
                        <w:t>Specify downlink control signalling enhancement</w:t>
                      </w:r>
                      <w:r w:rsidRPr="00401C76">
                        <w:rPr>
                          <w:rFonts w:eastAsia="Malgun Gothic" w:hint="eastAsia"/>
                          <w:lang w:eastAsia="ko-KR"/>
                        </w:rPr>
                        <w:t>(s)</w:t>
                      </w:r>
                      <w:r w:rsidRPr="00401C76">
                        <w:rPr>
                          <w:lang w:eastAsia="ko-KR"/>
                        </w:rPr>
                        <w:t xml:space="preserve"> for efficient support of non-coherent joint transmission</w:t>
                      </w:r>
                    </w:p>
                    <w:p w14:paraId="15042F1C" w14:textId="77777777" w:rsidR="00B90890" w:rsidRPr="00401C76" w:rsidRDefault="00B90890"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eastAsia="Malgun Gothic" w:hint="eastAsia"/>
                          <w:lang w:eastAsia="ko-KR"/>
                        </w:rPr>
                        <w:t xml:space="preserve">enhancements on uplink control signalling </w:t>
                      </w:r>
                      <w:r w:rsidRPr="00401C76">
                        <w:rPr>
                          <w:lang w:eastAsia="ko-KR"/>
                        </w:rPr>
                        <w:t>and/or reference signal(s)</w:t>
                      </w:r>
                      <w:r w:rsidRPr="00401C76">
                        <w:rPr>
                          <w:rFonts w:eastAsia="Malgun Gothic" w:hint="eastAsia"/>
                          <w:lang w:eastAsia="ko-KR"/>
                        </w:rPr>
                        <w:t xml:space="preserve"> </w:t>
                      </w:r>
                      <w:r w:rsidRPr="00401C76">
                        <w:rPr>
                          <w:lang w:eastAsia="ko-KR"/>
                        </w:rPr>
                        <w:t>for non-coherent joint transmission</w:t>
                      </w:r>
                    </w:p>
                    <w:p w14:paraId="5C901438" w14:textId="77777777" w:rsidR="00B90890" w:rsidRPr="00401C76" w:rsidRDefault="00B90890" w:rsidP="00CC60AA">
                      <w:pPr>
                        <w:numPr>
                          <w:ilvl w:val="1"/>
                          <w:numId w:val="61"/>
                        </w:numPr>
                        <w:snapToGrid w:val="0"/>
                        <w:spacing w:after="120"/>
                        <w:ind w:right="-99"/>
                        <w:textAlignment w:val="auto"/>
                        <w:rPr>
                          <w:lang w:eastAsia="ko-KR"/>
                        </w:rPr>
                      </w:pPr>
                      <w:r w:rsidRPr="00401C76">
                        <w:rPr>
                          <w:lang w:eastAsia="ko-KR"/>
                        </w:rPr>
                        <w:t xml:space="preserve">Enhancements on multi-beam operation, primarily targeting </w:t>
                      </w:r>
                      <w:r w:rsidRPr="007729DC">
                        <w:rPr>
                          <w:rFonts w:eastAsia="Malgun Gothic" w:hint="eastAsia"/>
                          <w:lang w:eastAsia="ko-KR"/>
                        </w:rPr>
                        <w:t>FR2</w:t>
                      </w:r>
                      <w:r w:rsidRPr="00401C76">
                        <w:rPr>
                          <w:lang w:eastAsia="ko-KR"/>
                        </w:rPr>
                        <w:t xml:space="preserve"> operation:</w:t>
                      </w:r>
                    </w:p>
                    <w:p w14:paraId="1E649A63" w14:textId="77777777" w:rsidR="00B90890" w:rsidRPr="00401C76" w:rsidRDefault="00B90890"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14838CFA" w14:textId="77777777" w:rsidR="00B90890" w:rsidRPr="00401C76" w:rsidRDefault="00B90890" w:rsidP="00CC60AA">
                      <w:pPr>
                        <w:numPr>
                          <w:ilvl w:val="2"/>
                          <w:numId w:val="61"/>
                        </w:numPr>
                        <w:snapToGrid w:val="0"/>
                        <w:spacing w:after="120"/>
                        <w:ind w:right="-99"/>
                        <w:textAlignment w:val="auto"/>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15C41177" w14:textId="77777777" w:rsidR="00B90890" w:rsidRPr="001B2960" w:rsidRDefault="00B90890" w:rsidP="00CC60AA">
                      <w:pPr>
                        <w:numPr>
                          <w:ilvl w:val="2"/>
                          <w:numId w:val="61"/>
                        </w:numPr>
                        <w:snapToGrid w:val="0"/>
                        <w:spacing w:after="120"/>
                        <w:ind w:right="-99"/>
                        <w:textAlignment w:val="auto"/>
                        <w:rPr>
                          <w:lang w:eastAsia="ko-KR"/>
                        </w:rPr>
                      </w:pPr>
                      <w:r w:rsidRPr="00401C76">
                        <w:rPr>
                          <w:rFonts w:hint="eastAsia"/>
                          <w:lang w:eastAsia="ko-KR"/>
                        </w:rPr>
                        <w:t>Specify a beam failure recovery for SCell based on the beam failure recovery specified in Rel-15</w:t>
                      </w:r>
                    </w:p>
                    <w:p w14:paraId="1DDEB004" w14:textId="77777777" w:rsidR="00B90890" w:rsidRPr="00401C76" w:rsidRDefault="00B90890" w:rsidP="00CC60AA">
                      <w:pPr>
                        <w:numPr>
                          <w:ilvl w:val="2"/>
                          <w:numId w:val="61"/>
                        </w:numPr>
                        <w:snapToGrid w:val="0"/>
                        <w:spacing w:after="120"/>
                        <w:ind w:right="-99"/>
                        <w:textAlignment w:val="auto"/>
                        <w:rPr>
                          <w:lang w:eastAsia="ko-KR"/>
                        </w:rPr>
                      </w:pPr>
                      <w:r w:rsidRPr="00FF6E4F">
                        <w:rPr>
                          <w:rFonts w:eastAsia="Malgun Gothic" w:hint="eastAsia"/>
                          <w:lang w:eastAsia="ko-KR"/>
                        </w:rPr>
                        <w:t>Specify measurement and reporting of either L1-RSRQ or L1-SINR</w:t>
                      </w:r>
                    </w:p>
                    <w:p w14:paraId="03133C42" w14:textId="77777777" w:rsidR="00B90890" w:rsidRPr="00401C76" w:rsidRDefault="00B90890" w:rsidP="00CC60AA">
                      <w:pPr>
                        <w:numPr>
                          <w:ilvl w:val="1"/>
                          <w:numId w:val="61"/>
                        </w:numPr>
                        <w:snapToGrid w:val="0"/>
                        <w:spacing w:after="120"/>
                        <w:ind w:right="-99"/>
                        <w:textAlignment w:val="auto"/>
                        <w:rPr>
                          <w:lang w:eastAsia="ko-KR"/>
                        </w:rPr>
                      </w:pPr>
                      <w:r w:rsidRPr="00401C76">
                        <w:rPr>
                          <w:rFonts w:eastAsia="Malgun Gothic" w:hint="eastAsia"/>
                          <w:lang w:eastAsia="ko-KR"/>
                        </w:rPr>
                        <w:t xml:space="preserve">Perform study and make conclusion in the first RAN1 meeting after </w:t>
                      </w:r>
                      <w:r>
                        <w:rPr>
                          <w:rFonts w:eastAsia="Malgun Gothic" w:hint="eastAsia"/>
                          <w:lang w:eastAsia="ko-KR"/>
                        </w:rPr>
                        <w:t>start</w:t>
                      </w:r>
                      <w:r w:rsidRPr="00401C76">
                        <w:rPr>
                          <w:rFonts w:eastAsia="Malgun Gothic" w:hint="eastAsia"/>
                          <w:lang w:eastAsia="ko-KR"/>
                        </w:rPr>
                        <w:t xml:space="preserve"> of the WI, and if needed, specify </w:t>
                      </w:r>
                      <w:r w:rsidRPr="00401C76">
                        <w:t>CSI-RS</w:t>
                      </w:r>
                      <w:r w:rsidRPr="00401C76">
                        <w:rPr>
                          <w:rFonts w:eastAsia="Malgun Gothic" w:hint="eastAsia"/>
                          <w:lang w:eastAsia="ko-KR"/>
                        </w:rPr>
                        <w:t xml:space="preserve"> and </w:t>
                      </w:r>
                      <w:r w:rsidRPr="00401C76">
                        <w:t>DMRS</w:t>
                      </w:r>
                      <w:r w:rsidRPr="00401C76">
                        <w:rPr>
                          <w:rFonts w:eastAsia="Malgun Gothic" w:hint="eastAsia"/>
                          <w:lang w:eastAsia="ko-KR"/>
                        </w:rPr>
                        <w:t xml:space="preserve"> (both downlink and uplink) </w:t>
                      </w:r>
                      <w:r w:rsidRPr="008E2A04">
                        <w:rPr>
                          <w:rFonts w:eastAsia="Malgun Gothic" w:hint="eastAsia"/>
                          <w:lang w:eastAsia="ko-KR"/>
                        </w:rPr>
                        <w:t>enhancement</w:t>
                      </w:r>
                      <w:r>
                        <w:rPr>
                          <w:rFonts w:eastAsia="Malgun Gothic" w:hint="eastAsia"/>
                          <w:lang w:eastAsia="ko-KR"/>
                        </w:rPr>
                        <w:t xml:space="preserve"> </w:t>
                      </w:r>
                      <w:r w:rsidRPr="00401C76">
                        <w:rPr>
                          <w:rFonts w:eastAsia="Malgun Gothic" w:hint="eastAsia"/>
                          <w:lang w:eastAsia="ko-KR"/>
                        </w:rPr>
                        <w:t xml:space="preserve">for PAPR reduction for one or multiple layers (no </w:t>
                      </w:r>
                      <w:r w:rsidRPr="00401C76">
                        <w:rPr>
                          <w:rFonts w:eastAsia="Malgun Gothic"/>
                          <w:lang w:eastAsia="ko-KR"/>
                        </w:rPr>
                        <w:t>change</w:t>
                      </w:r>
                      <w:r w:rsidRPr="00401C76">
                        <w:rPr>
                          <w:rFonts w:eastAsia="Malgun Gothic" w:hint="eastAsia"/>
                          <w:lang w:eastAsia="ko-KR"/>
                        </w:rPr>
                        <w:t xml:space="preserve"> on RE mapping specified in Rel-15)</w:t>
                      </w:r>
                    </w:p>
                    <w:p w14:paraId="13FB694D" w14:textId="77777777" w:rsidR="00B90890" w:rsidRPr="00401C76" w:rsidRDefault="00B90890" w:rsidP="00CC60AA">
                      <w:pPr>
                        <w:numPr>
                          <w:ilvl w:val="1"/>
                          <w:numId w:val="61"/>
                        </w:numPr>
                        <w:snapToGrid w:val="0"/>
                        <w:spacing w:after="120"/>
                        <w:ind w:right="-99"/>
                        <w:textAlignment w:val="auto"/>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txbxContent>
                </v:textbox>
                <w10:anchorlock/>
              </v:shape>
            </w:pict>
          </mc:Fallback>
        </mc:AlternateContent>
      </w:r>
    </w:p>
    <w:p w14:paraId="28D0451C" w14:textId="74FB4B14" w:rsidR="00A0767A" w:rsidRDefault="008A7CE5" w:rsidP="00026770">
      <w:pPr>
        <w:ind w:firstLine="284"/>
        <w:jc w:val="both"/>
        <w:rPr>
          <w:sz w:val="22"/>
          <w:szCs w:val="22"/>
          <w:lang w:eastAsia="zh-CN"/>
        </w:rPr>
      </w:pPr>
      <w:r>
        <w:rPr>
          <w:sz w:val="22"/>
          <w:szCs w:val="22"/>
          <w:lang w:eastAsia="zh-CN"/>
        </w:rPr>
        <w:t xml:space="preserve">In this contribution, we provide some discussions on </w:t>
      </w:r>
      <w:r w:rsidR="00BD3797">
        <w:rPr>
          <w:sz w:val="22"/>
          <w:szCs w:val="22"/>
          <w:lang w:eastAsia="zh-CN"/>
        </w:rPr>
        <w:t>SCell beam failure recovery (BFR)</w:t>
      </w:r>
      <w:r w:rsidR="00015B2E">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0D0DD328" w14:textId="62D09208" w:rsidR="00886FC5" w:rsidRDefault="00886FC5" w:rsidP="00886FC5">
      <w:pPr>
        <w:pStyle w:val="Heading2"/>
      </w:pPr>
      <w:r>
        <w:t xml:space="preserve">2.1 </w:t>
      </w:r>
      <w:r w:rsidR="00BD3797">
        <w:t>Rel-15 BFR procedure</w:t>
      </w:r>
    </w:p>
    <w:p w14:paraId="6EC07AEF" w14:textId="6601CD61" w:rsidR="00886FC5" w:rsidRDefault="00886FC5" w:rsidP="00BD3797">
      <w:pPr>
        <w:ind w:firstLine="284"/>
        <w:jc w:val="both"/>
        <w:rPr>
          <w:sz w:val="22"/>
          <w:szCs w:val="22"/>
        </w:rPr>
      </w:pPr>
      <w:r>
        <w:rPr>
          <w:sz w:val="22"/>
          <w:szCs w:val="22"/>
        </w:rPr>
        <w:t xml:space="preserve">In Rel-15, </w:t>
      </w:r>
      <w:r w:rsidR="00BD3797">
        <w:rPr>
          <w:sz w:val="22"/>
          <w:szCs w:val="22"/>
        </w:rPr>
        <w:t xml:space="preserve">the BFR procedure has been defined for </w:t>
      </w:r>
      <w:proofErr w:type="spellStart"/>
      <w:r w:rsidR="00BD3797">
        <w:rPr>
          <w:sz w:val="22"/>
          <w:szCs w:val="22"/>
        </w:rPr>
        <w:t>PCell</w:t>
      </w:r>
      <w:proofErr w:type="spellEnd"/>
      <w:r w:rsidR="00BD3797">
        <w:rPr>
          <w:sz w:val="22"/>
          <w:szCs w:val="22"/>
        </w:rPr>
        <w:t>, which includes the follow steps</w:t>
      </w:r>
      <w:r w:rsidR="00E95788">
        <w:rPr>
          <w:sz w:val="22"/>
          <w:szCs w:val="22"/>
        </w:rPr>
        <w:t xml:space="preserve"> as shown in Figure 1</w:t>
      </w:r>
      <w:r w:rsidR="00BD3797">
        <w:rPr>
          <w:sz w:val="22"/>
          <w:szCs w:val="22"/>
        </w:rPr>
        <w:t>:</w:t>
      </w:r>
    </w:p>
    <w:p w14:paraId="66F2F31E" w14:textId="45718ACA" w:rsidR="00BD3797" w:rsidRPr="00E95788" w:rsidRDefault="00BD3797" w:rsidP="00BD3797">
      <w:pPr>
        <w:pStyle w:val="ListParagraph"/>
        <w:numPr>
          <w:ilvl w:val="0"/>
          <w:numId w:val="62"/>
        </w:numPr>
        <w:jc w:val="both"/>
        <w:rPr>
          <w:sz w:val="21"/>
          <w:lang w:eastAsia="zh-CN"/>
        </w:rPr>
      </w:pPr>
      <w:r w:rsidRPr="00E95788">
        <w:rPr>
          <w:sz w:val="21"/>
          <w:lang w:eastAsia="zh-CN"/>
        </w:rPr>
        <w:lastRenderedPageBreak/>
        <w:t>Beam Failure Detection (BFD)</w:t>
      </w:r>
    </w:p>
    <w:p w14:paraId="14DDEB35" w14:textId="2EC060C7" w:rsidR="00BD3797" w:rsidRPr="00E95788" w:rsidRDefault="00BD3797" w:rsidP="00BD3797">
      <w:pPr>
        <w:pStyle w:val="ListParagraph"/>
        <w:numPr>
          <w:ilvl w:val="0"/>
          <w:numId w:val="62"/>
        </w:numPr>
        <w:jc w:val="both"/>
        <w:rPr>
          <w:sz w:val="21"/>
          <w:lang w:eastAsia="zh-CN"/>
        </w:rPr>
      </w:pPr>
      <w:r w:rsidRPr="00E95788">
        <w:rPr>
          <w:sz w:val="21"/>
          <w:lang w:eastAsia="zh-CN"/>
        </w:rPr>
        <w:t>New Beam Identification (NBI)</w:t>
      </w:r>
    </w:p>
    <w:p w14:paraId="254D7AAD" w14:textId="42521749" w:rsidR="00BD3797" w:rsidRPr="00E95788" w:rsidRDefault="00BD3797" w:rsidP="00BD3797">
      <w:pPr>
        <w:pStyle w:val="ListParagraph"/>
        <w:numPr>
          <w:ilvl w:val="0"/>
          <w:numId w:val="62"/>
        </w:numPr>
        <w:jc w:val="both"/>
        <w:rPr>
          <w:sz w:val="21"/>
          <w:lang w:eastAsia="zh-CN"/>
        </w:rPr>
      </w:pPr>
      <w:r w:rsidRPr="00E95788">
        <w:rPr>
          <w:sz w:val="21"/>
          <w:lang w:eastAsia="zh-CN"/>
        </w:rPr>
        <w:t>BFR request (BFRQ)</w:t>
      </w:r>
    </w:p>
    <w:p w14:paraId="6254359E" w14:textId="7077F973" w:rsidR="00BD3797" w:rsidRPr="00E95788" w:rsidRDefault="00E95788" w:rsidP="00BD3797">
      <w:pPr>
        <w:pStyle w:val="ListParagraph"/>
        <w:numPr>
          <w:ilvl w:val="0"/>
          <w:numId w:val="62"/>
        </w:numPr>
        <w:jc w:val="both"/>
        <w:rPr>
          <w:sz w:val="21"/>
          <w:lang w:eastAsia="zh-CN"/>
        </w:rPr>
      </w:pPr>
      <w:r w:rsidRPr="00E95788">
        <w:rPr>
          <w:sz w:val="21"/>
          <w:lang w:eastAsia="zh-CN"/>
        </w:rPr>
        <w:t>BFRQ response</w:t>
      </w:r>
    </w:p>
    <w:p w14:paraId="6E30EC1C" w14:textId="77777777" w:rsidR="00E95788" w:rsidRDefault="00E95788" w:rsidP="00BA2A31">
      <w:pPr>
        <w:ind w:firstLine="284"/>
        <w:jc w:val="both"/>
        <w:rPr>
          <w:sz w:val="22"/>
          <w:szCs w:val="22"/>
        </w:rPr>
      </w:pPr>
    </w:p>
    <w:p w14:paraId="65DEE142" w14:textId="716723A3" w:rsidR="00E95788" w:rsidRDefault="00E95788" w:rsidP="00E95788">
      <w:pPr>
        <w:ind w:firstLine="284"/>
        <w:jc w:val="center"/>
        <w:rPr>
          <w:sz w:val="22"/>
          <w:szCs w:val="22"/>
        </w:rPr>
      </w:pPr>
      <w:r>
        <w:object w:dxaOrig="7728" w:dyaOrig="5868" w14:anchorId="33843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4pt;height:293.4pt" o:ole="">
            <v:imagedata r:id="rId11" o:title=""/>
          </v:shape>
          <o:OLEObject Type="Embed" ProgID="Visio.Drawing.15" ShapeID="_x0000_i1025" DrawAspect="Content" ObjectID="_1595318252" r:id="rId12"/>
        </w:object>
      </w:r>
    </w:p>
    <w:p w14:paraId="3274A12E" w14:textId="6C3B51F7" w:rsidR="00E95788" w:rsidRPr="00E95788" w:rsidRDefault="00E95788" w:rsidP="00E95788">
      <w:pPr>
        <w:ind w:firstLine="284"/>
        <w:jc w:val="center"/>
        <w:rPr>
          <w:b/>
          <w:sz w:val="22"/>
          <w:szCs w:val="22"/>
        </w:rPr>
      </w:pPr>
      <w:r w:rsidRPr="00E95788">
        <w:rPr>
          <w:b/>
          <w:sz w:val="22"/>
          <w:szCs w:val="22"/>
        </w:rPr>
        <w:t>Figure 1: Rel-15 BFR procedure</w:t>
      </w:r>
    </w:p>
    <w:p w14:paraId="1CCF1668" w14:textId="1F44FAFF" w:rsidR="00E95788" w:rsidRDefault="00E95788" w:rsidP="00BA2A31">
      <w:pPr>
        <w:ind w:firstLine="284"/>
        <w:jc w:val="both"/>
        <w:rPr>
          <w:sz w:val="22"/>
          <w:szCs w:val="22"/>
        </w:rPr>
      </w:pPr>
      <w:r>
        <w:rPr>
          <w:sz w:val="22"/>
          <w:szCs w:val="22"/>
        </w:rPr>
        <w:t xml:space="preserve">A UE can detect the hypothetical BLER for SSB or periodic CSI-RS which is </w:t>
      </w:r>
      <w:proofErr w:type="spellStart"/>
      <w:r>
        <w:rPr>
          <w:sz w:val="22"/>
          <w:szCs w:val="22"/>
        </w:rPr>
        <w:t>QCLed</w:t>
      </w:r>
      <w:proofErr w:type="spellEnd"/>
      <w:r>
        <w:rPr>
          <w:sz w:val="22"/>
          <w:szCs w:val="22"/>
        </w:rPr>
        <w:t xml:space="preserve"> with a CORESET. When the hypothetical BLER for all the corresponding SSB and CSI-RS resources is above a threshold in a time instance, a beam failure instance can be declared. After detecting N consecutive beam failure instance (BFI), UE can declare beam failure happens. </w:t>
      </w:r>
    </w:p>
    <w:p w14:paraId="546B6AF7" w14:textId="50EFB3AB" w:rsidR="00441C3F" w:rsidRDefault="00441C3F" w:rsidP="00BA2A31">
      <w:pPr>
        <w:ind w:firstLine="284"/>
        <w:jc w:val="both"/>
        <w:rPr>
          <w:sz w:val="22"/>
          <w:szCs w:val="22"/>
        </w:rPr>
      </w:pPr>
      <w:r>
        <w:rPr>
          <w:sz w:val="22"/>
          <w:szCs w:val="22"/>
        </w:rPr>
        <w:t xml:space="preserve">After beam failure </w:t>
      </w:r>
      <w:r w:rsidR="00335186">
        <w:rPr>
          <w:sz w:val="22"/>
          <w:szCs w:val="22"/>
        </w:rPr>
        <w:t>is declared, UE can transmit a contention-free (CF) PRACH based BFRQ, which is associated with a newly identified beam. The NBI is based on L1-RSRP measurement, where the beams with L1-RSRP larger than a configured threshold could be considered as candidate beams. Then in 4 slots after UE transmits BFRQ, UE could start to monitor the dedicated Search Space (SS-BFR) for BFRQ response reception.</w:t>
      </w:r>
    </w:p>
    <w:p w14:paraId="2D5D9107" w14:textId="7CAAC379" w:rsidR="00B90890" w:rsidRDefault="00B90890" w:rsidP="00B90890">
      <w:pPr>
        <w:ind w:firstLine="284"/>
        <w:jc w:val="both"/>
        <w:rPr>
          <w:sz w:val="22"/>
          <w:szCs w:val="22"/>
        </w:rPr>
      </w:pPr>
      <w:r>
        <w:rPr>
          <w:sz w:val="22"/>
          <w:szCs w:val="22"/>
        </w:rPr>
        <w:t>According to the WID, SCell BFR should be based on BFR specified in Rel-15, therefore the same procedure should be applied to SCell BFR.</w:t>
      </w:r>
    </w:p>
    <w:p w14:paraId="35C3A354" w14:textId="5C11C549" w:rsidR="00B90890" w:rsidRPr="0076524A" w:rsidRDefault="00B90890" w:rsidP="00BA2A31">
      <w:pPr>
        <w:ind w:firstLine="284"/>
        <w:jc w:val="both"/>
        <w:rPr>
          <w:b/>
          <w:i/>
          <w:sz w:val="22"/>
          <w:szCs w:val="22"/>
        </w:rPr>
      </w:pPr>
      <w:r w:rsidRPr="0076524A">
        <w:rPr>
          <w:b/>
          <w:i/>
          <w:sz w:val="22"/>
          <w:szCs w:val="22"/>
        </w:rPr>
        <w:t xml:space="preserve">Proposal 1: </w:t>
      </w:r>
      <w:r w:rsidR="0076524A">
        <w:rPr>
          <w:b/>
          <w:i/>
          <w:sz w:val="22"/>
          <w:szCs w:val="22"/>
        </w:rPr>
        <w:t xml:space="preserve">Based on BFR specified in Rel-15, </w:t>
      </w:r>
      <w:r w:rsidR="0076524A" w:rsidRPr="0076524A">
        <w:rPr>
          <w:b/>
          <w:i/>
          <w:sz w:val="22"/>
          <w:szCs w:val="22"/>
        </w:rPr>
        <w:t>SCell BFR should include the following steps: beam failure detection, new beam identification, beam failure recovery request and beam failure recovery response.</w:t>
      </w:r>
    </w:p>
    <w:p w14:paraId="1488122E" w14:textId="4748403B" w:rsidR="00335186" w:rsidRPr="00B90890" w:rsidRDefault="00B90890" w:rsidP="00B90890">
      <w:pPr>
        <w:pStyle w:val="Heading2"/>
      </w:pPr>
      <w:r w:rsidRPr="00B90890">
        <w:t>2.2 Discussion on SCell BFR</w:t>
      </w:r>
    </w:p>
    <w:p w14:paraId="63E88D4D" w14:textId="4E3A83F7" w:rsidR="0076524A" w:rsidRDefault="0076524A" w:rsidP="00BA2A31">
      <w:pPr>
        <w:ind w:firstLine="284"/>
        <w:jc w:val="both"/>
        <w:rPr>
          <w:sz w:val="22"/>
          <w:szCs w:val="22"/>
        </w:rPr>
      </w:pPr>
      <w:r>
        <w:rPr>
          <w:sz w:val="22"/>
          <w:szCs w:val="22"/>
        </w:rPr>
        <w:t xml:space="preserve">A UE may be configured with multiple </w:t>
      </w:r>
      <w:proofErr w:type="spellStart"/>
      <w:r>
        <w:rPr>
          <w:sz w:val="22"/>
          <w:szCs w:val="22"/>
        </w:rPr>
        <w:t>SCells</w:t>
      </w:r>
      <w:proofErr w:type="spellEnd"/>
      <w:r>
        <w:rPr>
          <w:sz w:val="22"/>
          <w:szCs w:val="22"/>
        </w:rPr>
        <w:t>. In Rel-15, BFD is based on hypothetical BLER detection. Then to support SCell BFR, more hypothetical BLER detection would be required. Thus the UE power consumption could be increased. To reduce UE power consumption, a simplified metric should be used, e.g. L1-RSRP or L1-SINR.</w:t>
      </w:r>
    </w:p>
    <w:p w14:paraId="62AEB2B7" w14:textId="26A018CA" w:rsidR="002A3DB4" w:rsidRDefault="002A3DB4" w:rsidP="00BA2A31">
      <w:pPr>
        <w:ind w:firstLine="284"/>
        <w:jc w:val="both"/>
        <w:rPr>
          <w:sz w:val="22"/>
          <w:szCs w:val="22"/>
        </w:rPr>
      </w:pPr>
      <w:r>
        <w:rPr>
          <w:sz w:val="22"/>
          <w:szCs w:val="22"/>
        </w:rPr>
        <w:lastRenderedPageBreak/>
        <w:t xml:space="preserve">Further to recover the beam for SCell, another possible way is to use cross-CC beam reporting and cross-CC beam indication. The beam reporting could be based on PUCCH or PUSCH, and beam indication is based on MAC CE as shown in Figure 2. </w:t>
      </w:r>
      <w:r w:rsidR="00ED200A">
        <w:rPr>
          <w:sz w:val="22"/>
          <w:szCs w:val="22"/>
        </w:rPr>
        <w:t>T</w:t>
      </w:r>
      <w:r>
        <w:rPr>
          <w:sz w:val="22"/>
          <w:szCs w:val="22"/>
        </w:rPr>
        <w:t>he SCell BFRQ and BFR response procedures should have a lower overhead and lower latency than cross-CC beam reporting and beam indication.</w:t>
      </w:r>
      <w:r w:rsidR="00ED200A">
        <w:rPr>
          <w:sz w:val="22"/>
          <w:szCs w:val="22"/>
        </w:rPr>
        <w:t xml:space="preserve"> Therefore, the overhead for uplink signal to carry BFRQ should be smaller than or equal to that of PUCCH, and the latency to recover the beam should be smaller than or equal to that of cross-CC beam indication.</w:t>
      </w:r>
    </w:p>
    <w:p w14:paraId="6B3341F4" w14:textId="3A829819" w:rsidR="002A3DB4" w:rsidRDefault="00517CBC" w:rsidP="00ED200A">
      <w:pPr>
        <w:ind w:firstLine="284"/>
        <w:jc w:val="center"/>
        <w:rPr>
          <w:sz w:val="22"/>
          <w:szCs w:val="22"/>
        </w:rPr>
      </w:pPr>
      <w:r>
        <w:object w:dxaOrig="6612" w:dyaOrig="6973" w14:anchorId="54A7BCAE">
          <v:shape id="_x0000_i1026" type="#_x0000_t75" style="width:277.7pt;height:292.85pt" o:ole="">
            <v:imagedata r:id="rId13" o:title=""/>
          </v:shape>
          <o:OLEObject Type="Embed" ProgID="Visio.Drawing.15" ShapeID="_x0000_i1026" DrawAspect="Content" ObjectID="_1595318253" r:id="rId14"/>
        </w:object>
      </w:r>
    </w:p>
    <w:p w14:paraId="0848A7C5" w14:textId="52ED5CD9" w:rsidR="002A3DB4" w:rsidRPr="00ED200A" w:rsidRDefault="002A3DB4" w:rsidP="00ED200A">
      <w:pPr>
        <w:ind w:firstLine="284"/>
        <w:jc w:val="center"/>
        <w:rPr>
          <w:b/>
          <w:sz w:val="22"/>
          <w:szCs w:val="22"/>
        </w:rPr>
      </w:pPr>
      <w:r w:rsidRPr="00ED200A">
        <w:rPr>
          <w:b/>
          <w:sz w:val="22"/>
          <w:szCs w:val="22"/>
        </w:rPr>
        <w:t>Figure 2: procedure for cross-CC based beam reporting and beam indication</w:t>
      </w:r>
    </w:p>
    <w:p w14:paraId="4B67A7D4" w14:textId="264EAB50" w:rsidR="008B4E6C" w:rsidRDefault="008B4E6C" w:rsidP="00ED200A">
      <w:pPr>
        <w:ind w:firstLine="284"/>
        <w:jc w:val="both"/>
        <w:rPr>
          <w:b/>
          <w:i/>
          <w:sz w:val="22"/>
          <w:szCs w:val="22"/>
        </w:rPr>
      </w:pPr>
      <w:r>
        <w:rPr>
          <w:b/>
          <w:i/>
          <w:sz w:val="22"/>
          <w:szCs w:val="22"/>
        </w:rPr>
        <w:t>Proposal 2: SCell BFD should take UE power consumption into account</w:t>
      </w:r>
      <w:r w:rsidR="00EC151B">
        <w:rPr>
          <w:b/>
          <w:i/>
          <w:sz w:val="22"/>
          <w:szCs w:val="22"/>
        </w:rPr>
        <w:t>, and it should be based on a simplified metric.</w:t>
      </w:r>
    </w:p>
    <w:p w14:paraId="0F6E15AA" w14:textId="0D3E6959" w:rsidR="00ED200A" w:rsidRPr="00ED200A" w:rsidRDefault="008B4E6C" w:rsidP="00ED200A">
      <w:pPr>
        <w:ind w:firstLine="284"/>
        <w:jc w:val="both"/>
        <w:rPr>
          <w:b/>
          <w:i/>
          <w:sz w:val="22"/>
          <w:szCs w:val="22"/>
        </w:rPr>
      </w:pPr>
      <w:r>
        <w:rPr>
          <w:b/>
          <w:i/>
          <w:sz w:val="22"/>
          <w:szCs w:val="22"/>
        </w:rPr>
        <w:t>Proposal 3</w:t>
      </w:r>
      <w:r w:rsidR="00ED200A" w:rsidRPr="00ED200A">
        <w:rPr>
          <w:b/>
          <w:i/>
          <w:sz w:val="22"/>
          <w:szCs w:val="22"/>
        </w:rPr>
        <w:t xml:space="preserve">: SCell BFRQ and BFR response procedures should have a lower overhead and lower latency than cross-CC beam reporting and beam indication. </w:t>
      </w:r>
    </w:p>
    <w:p w14:paraId="66E3C4A3" w14:textId="0D41E4F1" w:rsidR="00ED200A" w:rsidRPr="00ED200A" w:rsidRDefault="00ED200A" w:rsidP="00ED200A">
      <w:pPr>
        <w:pStyle w:val="ListParagraph"/>
        <w:numPr>
          <w:ilvl w:val="0"/>
          <w:numId w:val="63"/>
        </w:numPr>
        <w:jc w:val="both"/>
        <w:rPr>
          <w:rFonts w:ascii="Times New Roman" w:hAnsi="Times New Roman"/>
          <w:b/>
          <w:i/>
        </w:rPr>
      </w:pPr>
      <w:r w:rsidRPr="00ED200A">
        <w:rPr>
          <w:rFonts w:ascii="Times New Roman" w:hAnsi="Times New Roman"/>
          <w:b/>
          <w:i/>
        </w:rPr>
        <w:t>The overhead for uplink signal to carry BFRQ should be smaller than or equal to that of PUCCH, and the latency to recover the beam should be smaller than or equal to that of cross-CC beam indication.</w:t>
      </w:r>
    </w:p>
    <w:p w14:paraId="6A8926EF" w14:textId="3CCBD231" w:rsidR="00920E93" w:rsidRPr="00080C20" w:rsidRDefault="00920E93" w:rsidP="009656FA">
      <w:pPr>
        <w:ind w:firstLine="284"/>
        <w:jc w:val="both"/>
        <w:rPr>
          <w:b/>
          <w:i/>
          <w:sz w:val="22"/>
          <w:szCs w:val="22"/>
        </w:rPr>
      </w:pPr>
    </w:p>
    <w:p w14:paraId="2642D941" w14:textId="25B496F9" w:rsidR="0020001D" w:rsidRDefault="00517CBC" w:rsidP="00A875E8">
      <w:pPr>
        <w:pStyle w:val="Heading1"/>
        <w:numPr>
          <w:ilvl w:val="0"/>
          <w:numId w:val="5"/>
        </w:numPr>
        <w:pBdr>
          <w:top w:val="single" w:sz="12" w:space="4" w:color="auto"/>
        </w:pBdr>
        <w:rPr>
          <w:rFonts w:cs="Arial"/>
          <w:lang w:val="en-US"/>
        </w:rPr>
      </w:pPr>
      <w:r>
        <w:rPr>
          <w:rFonts w:cs="Arial"/>
          <w:lang w:val="en-US"/>
        </w:rPr>
        <w:t>Conclusion</w:t>
      </w:r>
    </w:p>
    <w:p w14:paraId="6D954B8E" w14:textId="1F920334"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00743293">
        <w:rPr>
          <w:sz w:val="22"/>
          <w:szCs w:val="22"/>
          <w:lang w:eastAsia="zh-CN"/>
        </w:rPr>
        <w:t xml:space="preserve">provided some discussion on </w:t>
      </w:r>
      <w:r w:rsidR="00ED200A">
        <w:rPr>
          <w:sz w:val="22"/>
          <w:szCs w:val="22"/>
          <w:lang w:eastAsia="zh-CN"/>
        </w:rPr>
        <w:t>SCell BFR</w:t>
      </w:r>
      <w:r>
        <w:rPr>
          <w:sz w:val="22"/>
          <w:szCs w:val="22"/>
          <w:lang w:eastAsia="zh-CN"/>
        </w:rPr>
        <w:t xml:space="preserve">. </w:t>
      </w:r>
      <w:r w:rsidR="00BF1A29">
        <w:rPr>
          <w:sz w:val="22"/>
          <w:szCs w:val="22"/>
          <w:lang w:eastAsia="zh-CN"/>
        </w:rPr>
        <w:t>From the discussion, we have achieved the following proposals.</w:t>
      </w:r>
    </w:p>
    <w:p w14:paraId="2C892138" w14:textId="77777777" w:rsidR="00ED200A" w:rsidRDefault="00ED200A" w:rsidP="00ED200A">
      <w:pPr>
        <w:ind w:firstLine="284"/>
        <w:jc w:val="both"/>
        <w:rPr>
          <w:b/>
          <w:i/>
          <w:sz w:val="22"/>
          <w:szCs w:val="22"/>
        </w:rPr>
      </w:pPr>
      <w:r w:rsidRPr="0076524A">
        <w:rPr>
          <w:b/>
          <w:i/>
          <w:sz w:val="22"/>
          <w:szCs w:val="22"/>
        </w:rPr>
        <w:t xml:space="preserve">Proposal 1: </w:t>
      </w:r>
      <w:r>
        <w:rPr>
          <w:b/>
          <w:i/>
          <w:sz w:val="22"/>
          <w:szCs w:val="22"/>
        </w:rPr>
        <w:t xml:space="preserve">Based on BFR specified in Rel-15, </w:t>
      </w:r>
      <w:r w:rsidRPr="0076524A">
        <w:rPr>
          <w:b/>
          <w:i/>
          <w:sz w:val="22"/>
          <w:szCs w:val="22"/>
        </w:rPr>
        <w:t>SCell BFR should include the following steps: beam failure detection, new beam identification, beam failure recovery request and beam failure recovery response.</w:t>
      </w:r>
    </w:p>
    <w:p w14:paraId="24E9456E" w14:textId="270AA4A7" w:rsidR="008B4E6C" w:rsidRPr="0076524A" w:rsidRDefault="008B4E6C" w:rsidP="00ED200A">
      <w:pPr>
        <w:ind w:firstLine="284"/>
        <w:jc w:val="both"/>
        <w:rPr>
          <w:b/>
          <w:i/>
          <w:sz w:val="22"/>
          <w:szCs w:val="22"/>
        </w:rPr>
      </w:pPr>
      <w:r>
        <w:rPr>
          <w:b/>
          <w:i/>
          <w:sz w:val="22"/>
          <w:szCs w:val="22"/>
        </w:rPr>
        <w:t xml:space="preserve">Proposal 2: </w:t>
      </w:r>
      <w:r w:rsidR="00EC151B">
        <w:rPr>
          <w:b/>
          <w:i/>
          <w:sz w:val="22"/>
          <w:szCs w:val="22"/>
        </w:rPr>
        <w:t>SCell BFD should take UE power consumption into account, and it should be based on a simplified metric.</w:t>
      </w:r>
    </w:p>
    <w:p w14:paraId="69B037CD" w14:textId="1F6C663D" w:rsidR="00ED200A" w:rsidRPr="00ED200A" w:rsidRDefault="00ED200A" w:rsidP="00ED200A">
      <w:pPr>
        <w:ind w:firstLine="284"/>
        <w:jc w:val="both"/>
        <w:rPr>
          <w:b/>
          <w:i/>
          <w:sz w:val="22"/>
          <w:szCs w:val="22"/>
        </w:rPr>
      </w:pPr>
      <w:r w:rsidRPr="00ED200A">
        <w:rPr>
          <w:b/>
          <w:i/>
          <w:sz w:val="22"/>
          <w:szCs w:val="22"/>
        </w:rPr>
        <w:lastRenderedPageBreak/>
        <w:t xml:space="preserve">Proposal </w:t>
      </w:r>
      <w:r w:rsidR="008B4E6C">
        <w:rPr>
          <w:b/>
          <w:i/>
          <w:sz w:val="22"/>
          <w:szCs w:val="22"/>
        </w:rPr>
        <w:t>3</w:t>
      </w:r>
      <w:r w:rsidRPr="00ED200A">
        <w:rPr>
          <w:b/>
          <w:i/>
          <w:sz w:val="22"/>
          <w:szCs w:val="22"/>
        </w:rPr>
        <w:t xml:space="preserve">: SCell BFRQ and BFR response procedures should have a lower overhead and lower latency than cross-CC beam reporting and beam indication. </w:t>
      </w:r>
    </w:p>
    <w:p w14:paraId="2859A54A" w14:textId="77777777" w:rsidR="00ED200A" w:rsidRPr="00ED200A" w:rsidRDefault="00ED200A" w:rsidP="00ED200A">
      <w:pPr>
        <w:pStyle w:val="ListParagraph"/>
        <w:numPr>
          <w:ilvl w:val="0"/>
          <w:numId w:val="63"/>
        </w:numPr>
        <w:jc w:val="both"/>
        <w:rPr>
          <w:rFonts w:ascii="Times New Roman" w:hAnsi="Times New Roman"/>
          <w:b/>
          <w:i/>
        </w:rPr>
      </w:pPr>
      <w:r w:rsidRPr="00ED200A">
        <w:rPr>
          <w:rFonts w:ascii="Times New Roman" w:hAnsi="Times New Roman"/>
          <w:b/>
          <w:i/>
        </w:rPr>
        <w:t>The overhead for uplink signal to carry BFRQ should be smaller than or equal to that of PUCCH, and the latency to recover the beam should be smaller than or equal to that of cross-CC beam indication.</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4D2CCCD" w14:textId="02F9D65A" w:rsidR="003D2F94" w:rsidRDefault="00A12C57" w:rsidP="00A12C57">
      <w:pPr>
        <w:numPr>
          <w:ilvl w:val="0"/>
          <w:numId w:val="2"/>
        </w:numPr>
        <w:rPr>
          <w:sz w:val="22"/>
          <w:szCs w:val="22"/>
          <w:lang w:val="en-US" w:eastAsia="zh-CN"/>
        </w:rPr>
      </w:pPr>
      <w:r>
        <w:rPr>
          <w:sz w:val="22"/>
          <w:szCs w:val="22"/>
          <w:lang w:val="en-US" w:eastAsia="zh-CN"/>
        </w:rPr>
        <w:t>RP-18145</w:t>
      </w:r>
      <w:r w:rsidR="001D32E8">
        <w:rPr>
          <w:sz w:val="22"/>
          <w:szCs w:val="22"/>
          <w:lang w:val="en-US" w:eastAsia="zh-CN"/>
        </w:rPr>
        <w:t xml:space="preserve">3. </w:t>
      </w:r>
      <w:r w:rsidRPr="00A12C57">
        <w:rPr>
          <w:sz w:val="22"/>
          <w:szCs w:val="22"/>
          <w:lang w:val="en-US" w:eastAsia="zh-CN"/>
        </w:rPr>
        <w:t>WI Proposal on NR MIMO Enhancements</w:t>
      </w:r>
      <w:r w:rsidR="001D32E8">
        <w:rPr>
          <w:sz w:val="22"/>
          <w:szCs w:val="22"/>
          <w:lang w:val="en-US" w:eastAsia="zh-CN"/>
        </w:rPr>
        <w:t xml:space="preserve">. </w:t>
      </w:r>
      <w:r>
        <w:rPr>
          <w:sz w:val="22"/>
          <w:szCs w:val="22"/>
          <w:lang w:val="en-US" w:eastAsia="zh-CN"/>
        </w:rPr>
        <w:t>Samsung</w:t>
      </w:r>
    </w:p>
    <w:sectPr w:rsidR="003D2F94"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B90890" w:rsidRDefault="00B90890">
      <w:r>
        <w:separator/>
      </w:r>
    </w:p>
  </w:endnote>
  <w:endnote w:type="continuationSeparator" w:id="0">
    <w:p w14:paraId="071F1724" w14:textId="77777777" w:rsidR="00B90890" w:rsidRDefault="00B90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B90890" w:rsidRDefault="00B908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B90890" w:rsidRDefault="00B9089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B90890" w:rsidRDefault="00B908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055B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55B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B90890" w:rsidRDefault="00B90890">
      <w:r>
        <w:separator/>
      </w:r>
    </w:p>
  </w:footnote>
  <w:footnote w:type="continuationSeparator" w:id="0">
    <w:p w14:paraId="439D2973" w14:textId="77777777" w:rsidR="00B90890" w:rsidRDefault="00B908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B90890" w:rsidRDefault="00B908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636600"/>
    <w:multiLevelType w:val="hybridMultilevel"/>
    <w:tmpl w:val="A3EE8334"/>
    <w:lvl w:ilvl="0" w:tplc="F738EB96">
      <w:start w:val="1"/>
      <w:numFmt w:val="bullet"/>
      <w:lvlText w:val="•"/>
      <w:lvlJc w:val="left"/>
      <w:pPr>
        <w:tabs>
          <w:tab w:val="num" w:pos="720"/>
        </w:tabs>
        <w:ind w:left="720" w:hanging="360"/>
      </w:pPr>
      <w:rPr>
        <w:rFonts w:ascii="Arial" w:hAnsi="Arial" w:hint="default"/>
      </w:rPr>
    </w:lvl>
    <w:lvl w:ilvl="1" w:tplc="58BC96FC">
      <w:start w:val="110"/>
      <w:numFmt w:val="bullet"/>
      <w:lvlText w:val="–"/>
      <w:lvlJc w:val="left"/>
      <w:pPr>
        <w:tabs>
          <w:tab w:val="num" w:pos="1440"/>
        </w:tabs>
        <w:ind w:left="1440" w:hanging="360"/>
      </w:pPr>
      <w:rPr>
        <w:rFonts w:ascii="Arial" w:hAnsi="Arial" w:hint="default"/>
      </w:rPr>
    </w:lvl>
    <w:lvl w:ilvl="2" w:tplc="C2FCB2E4" w:tentative="1">
      <w:start w:val="1"/>
      <w:numFmt w:val="bullet"/>
      <w:lvlText w:val="•"/>
      <w:lvlJc w:val="left"/>
      <w:pPr>
        <w:tabs>
          <w:tab w:val="num" w:pos="2160"/>
        </w:tabs>
        <w:ind w:left="2160" w:hanging="360"/>
      </w:pPr>
      <w:rPr>
        <w:rFonts w:ascii="Arial" w:hAnsi="Arial" w:hint="default"/>
      </w:rPr>
    </w:lvl>
    <w:lvl w:ilvl="3" w:tplc="5AE4436A" w:tentative="1">
      <w:start w:val="1"/>
      <w:numFmt w:val="bullet"/>
      <w:lvlText w:val="•"/>
      <w:lvlJc w:val="left"/>
      <w:pPr>
        <w:tabs>
          <w:tab w:val="num" w:pos="2880"/>
        </w:tabs>
        <w:ind w:left="2880" w:hanging="360"/>
      </w:pPr>
      <w:rPr>
        <w:rFonts w:ascii="Arial" w:hAnsi="Arial" w:hint="default"/>
      </w:rPr>
    </w:lvl>
    <w:lvl w:ilvl="4" w:tplc="89504578" w:tentative="1">
      <w:start w:val="1"/>
      <w:numFmt w:val="bullet"/>
      <w:lvlText w:val="•"/>
      <w:lvlJc w:val="left"/>
      <w:pPr>
        <w:tabs>
          <w:tab w:val="num" w:pos="3600"/>
        </w:tabs>
        <w:ind w:left="3600" w:hanging="360"/>
      </w:pPr>
      <w:rPr>
        <w:rFonts w:ascii="Arial" w:hAnsi="Arial" w:hint="default"/>
      </w:rPr>
    </w:lvl>
    <w:lvl w:ilvl="5" w:tplc="6712B8F8" w:tentative="1">
      <w:start w:val="1"/>
      <w:numFmt w:val="bullet"/>
      <w:lvlText w:val="•"/>
      <w:lvlJc w:val="left"/>
      <w:pPr>
        <w:tabs>
          <w:tab w:val="num" w:pos="4320"/>
        </w:tabs>
        <w:ind w:left="4320" w:hanging="360"/>
      </w:pPr>
      <w:rPr>
        <w:rFonts w:ascii="Arial" w:hAnsi="Arial" w:hint="default"/>
      </w:rPr>
    </w:lvl>
    <w:lvl w:ilvl="6" w:tplc="82EE55D0" w:tentative="1">
      <w:start w:val="1"/>
      <w:numFmt w:val="bullet"/>
      <w:lvlText w:val="•"/>
      <w:lvlJc w:val="left"/>
      <w:pPr>
        <w:tabs>
          <w:tab w:val="num" w:pos="5040"/>
        </w:tabs>
        <w:ind w:left="5040" w:hanging="360"/>
      </w:pPr>
      <w:rPr>
        <w:rFonts w:ascii="Arial" w:hAnsi="Arial" w:hint="default"/>
      </w:rPr>
    </w:lvl>
    <w:lvl w:ilvl="7" w:tplc="91F83D8E" w:tentative="1">
      <w:start w:val="1"/>
      <w:numFmt w:val="bullet"/>
      <w:lvlText w:val="•"/>
      <w:lvlJc w:val="left"/>
      <w:pPr>
        <w:tabs>
          <w:tab w:val="num" w:pos="5760"/>
        </w:tabs>
        <w:ind w:left="5760" w:hanging="360"/>
      </w:pPr>
      <w:rPr>
        <w:rFonts w:ascii="Arial" w:hAnsi="Arial" w:hint="default"/>
      </w:rPr>
    </w:lvl>
    <w:lvl w:ilvl="8" w:tplc="BF5847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A91F40"/>
    <w:multiLevelType w:val="hybridMultilevel"/>
    <w:tmpl w:val="0F5A2DBC"/>
    <w:lvl w:ilvl="0" w:tplc="E0025060">
      <w:start w:val="1"/>
      <w:numFmt w:val="bullet"/>
      <w:lvlText w:val="•"/>
      <w:lvlJc w:val="left"/>
      <w:pPr>
        <w:tabs>
          <w:tab w:val="num" w:pos="720"/>
        </w:tabs>
        <w:ind w:left="720" w:hanging="360"/>
      </w:pPr>
      <w:rPr>
        <w:rFonts w:ascii="Arial" w:hAnsi="Arial" w:hint="default"/>
      </w:rPr>
    </w:lvl>
    <w:lvl w:ilvl="1" w:tplc="F66AC09E" w:tentative="1">
      <w:start w:val="1"/>
      <w:numFmt w:val="bullet"/>
      <w:lvlText w:val="•"/>
      <w:lvlJc w:val="left"/>
      <w:pPr>
        <w:tabs>
          <w:tab w:val="num" w:pos="1440"/>
        </w:tabs>
        <w:ind w:left="1440" w:hanging="360"/>
      </w:pPr>
      <w:rPr>
        <w:rFonts w:ascii="Arial" w:hAnsi="Arial" w:hint="default"/>
      </w:rPr>
    </w:lvl>
    <w:lvl w:ilvl="2" w:tplc="0D8C369E" w:tentative="1">
      <w:start w:val="1"/>
      <w:numFmt w:val="bullet"/>
      <w:lvlText w:val="•"/>
      <w:lvlJc w:val="left"/>
      <w:pPr>
        <w:tabs>
          <w:tab w:val="num" w:pos="2160"/>
        </w:tabs>
        <w:ind w:left="2160" w:hanging="360"/>
      </w:pPr>
      <w:rPr>
        <w:rFonts w:ascii="Arial" w:hAnsi="Arial" w:hint="default"/>
      </w:rPr>
    </w:lvl>
    <w:lvl w:ilvl="3" w:tplc="92FC6D64" w:tentative="1">
      <w:start w:val="1"/>
      <w:numFmt w:val="bullet"/>
      <w:lvlText w:val="•"/>
      <w:lvlJc w:val="left"/>
      <w:pPr>
        <w:tabs>
          <w:tab w:val="num" w:pos="2880"/>
        </w:tabs>
        <w:ind w:left="2880" w:hanging="360"/>
      </w:pPr>
      <w:rPr>
        <w:rFonts w:ascii="Arial" w:hAnsi="Arial" w:hint="default"/>
      </w:rPr>
    </w:lvl>
    <w:lvl w:ilvl="4" w:tplc="27FE9C40" w:tentative="1">
      <w:start w:val="1"/>
      <w:numFmt w:val="bullet"/>
      <w:lvlText w:val="•"/>
      <w:lvlJc w:val="left"/>
      <w:pPr>
        <w:tabs>
          <w:tab w:val="num" w:pos="3600"/>
        </w:tabs>
        <w:ind w:left="3600" w:hanging="360"/>
      </w:pPr>
      <w:rPr>
        <w:rFonts w:ascii="Arial" w:hAnsi="Arial" w:hint="default"/>
      </w:rPr>
    </w:lvl>
    <w:lvl w:ilvl="5" w:tplc="F0B29C24" w:tentative="1">
      <w:start w:val="1"/>
      <w:numFmt w:val="bullet"/>
      <w:lvlText w:val="•"/>
      <w:lvlJc w:val="left"/>
      <w:pPr>
        <w:tabs>
          <w:tab w:val="num" w:pos="4320"/>
        </w:tabs>
        <w:ind w:left="4320" w:hanging="360"/>
      </w:pPr>
      <w:rPr>
        <w:rFonts w:ascii="Arial" w:hAnsi="Arial" w:hint="default"/>
      </w:rPr>
    </w:lvl>
    <w:lvl w:ilvl="6" w:tplc="B7CC93F8" w:tentative="1">
      <w:start w:val="1"/>
      <w:numFmt w:val="bullet"/>
      <w:lvlText w:val="•"/>
      <w:lvlJc w:val="left"/>
      <w:pPr>
        <w:tabs>
          <w:tab w:val="num" w:pos="5040"/>
        </w:tabs>
        <w:ind w:left="5040" w:hanging="360"/>
      </w:pPr>
      <w:rPr>
        <w:rFonts w:ascii="Arial" w:hAnsi="Arial" w:hint="default"/>
      </w:rPr>
    </w:lvl>
    <w:lvl w:ilvl="7" w:tplc="3FEA6FD0" w:tentative="1">
      <w:start w:val="1"/>
      <w:numFmt w:val="bullet"/>
      <w:lvlText w:val="•"/>
      <w:lvlJc w:val="left"/>
      <w:pPr>
        <w:tabs>
          <w:tab w:val="num" w:pos="5760"/>
        </w:tabs>
        <w:ind w:left="5760" w:hanging="360"/>
      </w:pPr>
      <w:rPr>
        <w:rFonts w:ascii="Arial" w:hAnsi="Arial" w:hint="default"/>
      </w:rPr>
    </w:lvl>
    <w:lvl w:ilvl="8" w:tplc="EB8616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B8761C6"/>
    <w:multiLevelType w:val="hybridMultilevel"/>
    <w:tmpl w:val="6214F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13"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0357A53"/>
    <w:multiLevelType w:val="hybridMultilevel"/>
    <w:tmpl w:val="333E373A"/>
    <w:lvl w:ilvl="0" w:tplc="3E14E602">
      <w:start w:val="1"/>
      <w:numFmt w:val="bullet"/>
      <w:lvlText w:val="•"/>
      <w:lvlJc w:val="left"/>
      <w:pPr>
        <w:tabs>
          <w:tab w:val="num" w:pos="720"/>
        </w:tabs>
        <w:ind w:left="720" w:hanging="360"/>
      </w:pPr>
      <w:rPr>
        <w:rFonts w:ascii="Arial" w:hAnsi="Arial" w:hint="default"/>
      </w:rPr>
    </w:lvl>
    <w:lvl w:ilvl="1" w:tplc="6A8E682A" w:tentative="1">
      <w:start w:val="1"/>
      <w:numFmt w:val="bullet"/>
      <w:lvlText w:val="•"/>
      <w:lvlJc w:val="left"/>
      <w:pPr>
        <w:tabs>
          <w:tab w:val="num" w:pos="1440"/>
        </w:tabs>
        <w:ind w:left="1440" w:hanging="360"/>
      </w:pPr>
      <w:rPr>
        <w:rFonts w:ascii="Arial" w:hAnsi="Arial" w:hint="default"/>
      </w:rPr>
    </w:lvl>
    <w:lvl w:ilvl="2" w:tplc="9C502CC0" w:tentative="1">
      <w:start w:val="1"/>
      <w:numFmt w:val="bullet"/>
      <w:lvlText w:val="•"/>
      <w:lvlJc w:val="left"/>
      <w:pPr>
        <w:tabs>
          <w:tab w:val="num" w:pos="2160"/>
        </w:tabs>
        <w:ind w:left="2160" w:hanging="360"/>
      </w:pPr>
      <w:rPr>
        <w:rFonts w:ascii="Arial" w:hAnsi="Arial" w:hint="default"/>
      </w:rPr>
    </w:lvl>
    <w:lvl w:ilvl="3" w:tplc="3AEAA56A" w:tentative="1">
      <w:start w:val="1"/>
      <w:numFmt w:val="bullet"/>
      <w:lvlText w:val="•"/>
      <w:lvlJc w:val="left"/>
      <w:pPr>
        <w:tabs>
          <w:tab w:val="num" w:pos="2880"/>
        </w:tabs>
        <w:ind w:left="2880" w:hanging="360"/>
      </w:pPr>
      <w:rPr>
        <w:rFonts w:ascii="Arial" w:hAnsi="Arial" w:hint="default"/>
      </w:rPr>
    </w:lvl>
    <w:lvl w:ilvl="4" w:tplc="6F72ED32" w:tentative="1">
      <w:start w:val="1"/>
      <w:numFmt w:val="bullet"/>
      <w:lvlText w:val="•"/>
      <w:lvlJc w:val="left"/>
      <w:pPr>
        <w:tabs>
          <w:tab w:val="num" w:pos="3600"/>
        </w:tabs>
        <w:ind w:left="3600" w:hanging="360"/>
      </w:pPr>
      <w:rPr>
        <w:rFonts w:ascii="Arial" w:hAnsi="Arial" w:hint="default"/>
      </w:rPr>
    </w:lvl>
    <w:lvl w:ilvl="5" w:tplc="497695B4" w:tentative="1">
      <w:start w:val="1"/>
      <w:numFmt w:val="bullet"/>
      <w:lvlText w:val="•"/>
      <w:lvlJc w:val="left"/>
      <w:pPr>
        <w:tabs>
          <w:tab w:val="num" w:pos="4320"/>
        </w:tabs>
        <w:ind w:left="4320" w:hanging="360"/>
      </w:pPr>
      <w:rPr>
        <w:rFonts w:ascii="Arial" w:hAnsi="Arial" w:hint="default"/>
      </w:rPr>
    </w:lvl>
    <w:lvl w:ilvl="6" w:tplc="B88C6134" w:tentative="1">
      <w:start w:val="1"/>
      <w:numFmt w:val="bullet"/>
      <w:lvlText w:val="•"/>
      <w:lvlJc w:val="left"/>
      <w:pPr>
        <w:tabs>
          <w:tab w:val="num" w:pos="5040"/>
        </w:tabs>
        <w:ind w:left="5040" w:hanging="360"/>
      </w:pPr>
      <w:rPr>
        <w:rFonts w:ascii="Arial" w:hAnsi="Arial" w:hint="default"/>
      </w:rPr>
    </w:lvl>
    <w:lvl w:ilvl="7" w:tplc="755000FA" w:tentative="1">
      <w:start w:val="1"/>
      <w:numFmt w:val="bullet"/>
      <w:lvlText w:val="•"/>
      <w:lvlJc w:val="left"/>
      <w:pPr>
        <w:tabs>
          <w:tab w:val="num" w:pos="5760"/>
        </w:tabs>
        <w:ind w:left="5760" w:hanging="360"/>
      </w:pPr>
      <w:rPr>
        <w:rFonts w:ascii="Arial" w:hAnsi="Arial" w:hint="default"/>
      </w:rPr>
    </w:lvl>
    <w:lvl w:ilvl="8" w:tplc="D248AC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9" w15:restartNumberingAfterBreak="0">
    <w:nsid w:val="384C684B"/>
    <w:multiLevelType w:val="hybridMultilevel"/>
    <w:tmpl w:val="85CA2F52"/>
    <w:lvl w:ilvl="0" w:tplc="CC58C578">
      <w:start w:val="1"/>
      <w:numFmt w:val="bullet"/>
      <w:lvlText w:val="•"/>
      <w:lvlJc w:val="left"/>
      <w:pPr>
        <w:tabs>
          <w:tab w:val="num" w:pos="720"/>
        </w:tabs>
        <w:ind w:left="720" w:hanging="360"/>
      </w:pPr>
      <w:rPr>
        <w:rFonts w:ascii="Arial" w:hAnsi="Arial" w:hint="default"/>
      </w:rPr>
    </w:lvl>
    <w:lvl w:ilvl="1" w:tplc="2C565E34" w:tentative="1">
      <w:start w:val="1"/>
      <w:numFmt w:val="bullet"/>
      <w:lvlText w:val="•"/>
      <w:lvlJc w:val="left"/>
      <w:pPr>
        <w:tabs>
          <w:tab w:val="num" w:pos="1440"/>
        </w:tabs>
        <w:ind w:left="1440" w:hanging="360"/>
      </w:pPr>
      <w:rPr>
        <w:rFonts w:ascii="Arial" w:hAnsi="Arial" w:hint="default"/>
      </w:rPr>
    </w:lvl>
    <w:lvl w:ilvl="2" w:tplc="78B4025C" w:tentative="1">
      <w:start w:val="1"/>
      <w:numFmt w:val="bullet"/>
      <w:lvlText w:val="•"/>
      <w:lvlJc w:val="left"/>
      <w:pPr>
        <w:tabs>
          <w:tab w:val="num" w:pos="2160"/>
        </w:tabs>
        <w:ind w:left="2160" w:hanging="360"/>
      </w:pPr>
      <w:rPr>
        <w:rFonts w:ascii="Arial" w:hAnsi="Arial" w:hint="default"/>
      </w:rPr>
    </w:lvl>
    <w:lvl w:ilvl="3" w:tplc="FB00BC90" w:tentative="1">
      <w:start w:val="1"/>
      <w:numFmt w:val="bullet"/>
      <w:lvlText w:val="•"/>
      <w:lvlJc w:val="left"/>
      <w:pPr>
        <w:tabs>
          <w:tab w:val="num" w:pos="2880"/>
        </w:tabs>
        <w:ind w:left="2880" w:hanging="360"/>
      </w:pPr>
      <w:rPr>
        <w:rFonts w:ascii="Arial" w:hAnsi="Arial" w:hint="default"/>
      </w:rPr>
    </w:lvl>
    <w:lvl w:ilvl="4" w:tplc="8F821A90" w:tentative="1">
      <w:start w:val="1"/>
      <w:numFmt w:val="bullet"/>
      <w:lvlText w:val="•"/>
      <w:lvlJc w:val="left"/>
      <w:pPr>
        <w:tabs>
          <w:tab w:val="num" w:pos="3600"/>
        </w:tabs>
        <w:ind w:left="3600" w:hanging="360"/>
      </w:pPr>
      <w:rPr>
        <w:rFonts w:ascii="Arial" w:hAnsi="Arial" w:hint="default"/>
      </w:rPr>
    </w:lvl>
    <w:lvl w:ilvl="5" w:tplc="8B18AE14" w:tentative="1">
      <w:start w:val="1"/>
      <w:numFmt w:val="bullet"/>
      <w:lvlText w:val="•"/>
      <w:lvlJc w:val="left"/>
      <w:pPr>
        <w:tabs>
          <w:tab w:val="num" w:pos="4320"/>
        </w:tabs>
        <w:ind w:left="4320" w:hanging="360"/>
      </w:pPr>
      <w:rPr>
        <w:rFonts w:ascii="Arial" w:hAnsi="Arial" w:hint="default"/>
      </w:rPr>
    </w:lvl>
    <w:lvl w:ilvl="6" w:tplc="A0F6705E" w:tentative="1">
      <w:start w:val="1"/>
      <w:numFmt w:val="bullet"/>
      <w:lvlText w:val="•"/>
      <w:lvlJc w:val="left"/>
      <w:pPr>
        <w:tabs>
          <w:tab w:val="num" w:pos="5040"/>
        </w:tabs>
        <w:ind w:left="5040" w:hanging="360"/>
      </w:pPr>
      <w:rPr>
        <w:rFonts w:ascii="Arial" w:hAnsi="Arial" w:hint="default"/>
      </w:rPr>
    </w:lvl>
    <w:lvl w:ilvl="7" w:tplc="68CCE962" w:tentative="1">
      <w:start w:val="1"/>
      <w:numFmt w:val="bullet"/>
      <w:lvlText w:val="•"/>
      <w:lvlJc w:val="left"/>
      <w:pPr>
        <w:tabs>
          <w:tab w:val="num" w:pos="5760"/>
        </w:tabs>
        <w:ind w:left="5760" w:hanging="360"/>
      </w:pPr>
      <w:rPr>
        <w:rFonts w:ascii="Arial" w:hAnsi="Arial" w:hint="default"/>
      </w:rPr>
    </w:lvl>
    <w:lvl w:ilvl="8" w:tplc="1AC43FC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4"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6"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F523195"/>
    <w:multiLevelType w:val="hybridMultilevel"/>
    <w:tmpl w:val="C6E4A812"/>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44" w15:restartNumberingAfterBreak="0">
    <w:nsid w:val="57E365A7"/>
    <w:multiLevelType w:val="hybridMultilevel"/>
    <w:tmpl w:val="FBD81A16"/>
    <w:lvl w:ilvl="0" w:tplc="0A165F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8527772"/>
    <w:multiLevelType w:val="hybridMultilevel"/>
    <w:tmpl w:val="2F3EB9C2"/>
    <w:lvl w:ilvl="0" w:tplc="BF1C0912">
      <w:start w:val="1"/>
      <w:numFmt w:val="bullet"/>
      <w:lvlText w:val="–"/>
      <w:lvlJc w:val="left"/>
      <w:pPr>
        <w:tabs>
          <w:tab w:val="num" w:pos="720"/>
        </w:tabs>
        <w:ind w:left="720" w:hanging="360"/>
      </w:pPr>
      <w:rPr>
        <w:rFonts w:ascii="Arial" w:hAnsi="Arial" w:hint="default"/>
      </w:rPr>
    </w:lvl>
    <w:lvl w:ilvl="1" w:tplc="5014A296">
      <w:start w:val="1"/>
      <w:numFmt w:val="bullet"/>
      <w:lvlText w:val="–"/>
      <w:lvlJc w:val="left"/>
      <w:pPr>
        <w:tabs>
          <w:tab w:val="num" w:pos="1440"/>
        </w:tabs>
        <w:ind w:left="1440" w:hanging="360"/>
      </w:pPr>
      <w:rPr>
        <w:rFonts w:ascii="Arial" w:hAnsi="Arial" w:hint="default"/>
      </w:rPr>
    </w:lvl>
    <w:lvl w:ilvl="2" w:tplc="D3BC60F4" w:tentative="1">
      <w:start w:val="1"/>
      <w:numFmt w:val="bullet"/>
      <w:lvlText w:val="–"/>
      <w:lvlJc w:val="left"/>
      <w:pPr>
        <w:tabs>
          <w:tab w:val="num" w:pos="2160"/>
        </w:tabs>
        <w:ind w:left="2160" w:hanging="360"/>
      </w:pPr>
      <w:rPr>
        <w:rFonts w:ascii="Arial" w:hAnsi="Arial" w:hint="default"/>
      </w:rPr>
    </w:lvl>
    <w:lvl w:ilvl="3" w:tplc="06A42F60" w:tentative="1">
      <w:start w:val="1"/>
      <w:numFmt w:val="bullet"/>
      <w:lvlText w:val="–"/>
      <w:lvlJc w:val="left"/>
      <w:pPr>
        <w:tabs>
          <w:tab w:val="num" w:pos="2880"/>
        </w:tabs>
        <w:ind w:left="2880" w:hanging="360"/>
      </w:pPr>
      <w:rPr>
        <w:rFonts w:ascii="Arial" w:hAnsi="Arial" w:hint="default"/>
      </w:rPr>
    </w:lvl>
    <w:lvl w:ilvl="4" w:tplc="F06E64A8" w:tentative="1">
      <w:start w:val="1"/>
      <w:numFmt w:val="bullet"/>
      <w:lvlText w:val="–"/>
      <w:lvlJc w:val="left"/>
      <w:pPr>
        <w:tabs>
          <w:tab w:val="num" w:pos="3600"/>
        </w:tabs>
        <w:ind w:left="3600" w:hanging="360"/>
      </w:pPr>
      <w:rPr>
        <w:rFonts w:ascii="Arial" w:hAnsi="Arial" w:hint="default"/>
      </w:rPr>
    </w:lvl>
    <w:lvl w:ilvl="5" w:tplc="DB1A2C50" w:tentative="1">
      <w:start w:val="1"/>
      <w:numFmt w:val="bullet"/>
      <w:lvlText w:val="–"/>
      <w:lvlJc w:val="left"/>
      <w:pPr>
        <w:tabs>
          <w:tab w:val="num" w:pos="4320"/>
        </w:tabs>
        <w:ind w:left="4320" w:hanging="360"/>
      </w:pPr>
      <w:rPr>
        <w:rFonts w:ascii="Arial" w:hAnsi="Arial" w:hint="default"/>
      </w:rPr>
    </w:lvl>
    <w:lvl w:ilvl="6" w:tplc="65BAFE94" w:tentative="1">
      <w:start w:val="1"/>
      <w:numFmt w:val="bullet"/>
      <w:lvlText w:val="–"/>
      <w:lvlJc w:val="left"/>
      <w:pPr>
        <w:tabs>
          <w:tab w:val="num" w:pos="5040"/>
        </w:tabs>
        <w:ind w:left="5040" w:hanging="360"/>
      </w:pPr>
      <w:rPr>
        <w:rFonts w:ascii="Arial" w:hAnsi="Arial" w:hint="default"/>
      </w:rPr>
    </w:lvl>
    <w:lvl w:ilvl="7" w:tplc="F6E087E6" w:tentative="1">
      <w:start w:val="1"/>
      <w:numFmt w:val="bullet"/>
      <w:lvlText w:val="–"/>
      <w:lvlJc w:val="left"/>
      <w:pPr>
        <w:tabs>
          <w:tab w:val="num" w:pos="5760"/>
        </w:tabs>
        <w:ind w:left="5760" w:hanging="360"/>
      </w:pPr>
      <w:rPr>
        <w:rFonts w:ascii="Arial" w:hAnsi="Arial" w:hint="default"/>
      </w:rPr>
    </w:lvl>
    <w:lvl w:ilvl="8" w:tplc="0664626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A52BF48"/>
    <w:multiLevelType w:val="singleLevel"/>
    <w:tmpl w:val="5A52BF48"/>
    <w:lvl w:ilvl="0">
      <w:start w:val="1"/>
      <w:numFmt w:val="decimal"/>
      <w:suff w:val="nothing"/>
      <w:lvlText w:val="%1."/>
      <w:lvlJc w:val="left"/>
    </w:lvl>
  </w:abstractNum>
  <w:abstractNum w:abstractNumId="47" w15:restartNumberingAfterBreak="0">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DEC7B88"/>
    <w:multiLevelType w:val="hybridMultilevel"/>
    <w:tmpl w:val="A29A7BFE"/>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9C1F2D"/>
    <w:multiLevelType w:val="hybridMultilevel"/>
    <w:tmpl w:val="6846AC2C"/>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EA1429F"/>
    <w:multiLevelType w:val="hybridMultilevel"/>
    <w:tmpl w:val="2C6C7F18"/>
    <w:lvl w:ilvl="0" w:tplc="38D82BC8">
      <w:start w:val="1"/>
      <w:numFmt w:val="bullet"/>
      <w:lvlText w:val="•"/>
      <w:lvlJc w:val="left"/>
      <w:pPr>
        <w:tabs>
          <w:tab w:val="num" w:pos="720"/>
        </w:tabs>
        <w:ind w:left="720" w:hanging="360"/>
      </w:pPr>
      <w:rPr>
        <w:rFonts w:ascii="Arial" w:hAnsi="Arial" w:hint="default"/>
      </w:rPr>
    </w:lvl>
    <w:lvl w:ilvl="1" w:tplc="EDC68078" w:tentative="1">
      <w:start w:val="1"/>
      <w:numFmt w:val="bullet"/>
      <w:lvlText w:val="•"/>
      <w:lvlJc w:val="left"/>
      <w:pPr>
        <w:tabs>
          <w:tab w:val="num" w:pos="1440"/>
        </w:tabs>
        <w:ind w:left="1440" w:hanging="360"/>
      </w:pPr>
      <w:rPr>
        <w:rFonts w:ascii="Arial" w:hAnsi="Arial" w:hint="default"/>
      </w:rPr>
    </w:lvl>
    <w:lvl w:ilvl="2" w:tplc="2368B714" w:tentative="1">
      <w:start w:val="1"/>
      <w:numFmt w:val="bullet"/>
      <w:lvlText w:val="•"/>
      <w:lvlJc w:val="left"/>
      <w:pPr>
        <w:tabs>
          <w:tab w:val="num" w:pos="2160"/>
        </w:tabs>
        <w:ind w:left="2160" w:hanging="360"/>
      </w:pPr>
      <w:rPr>
        <w:rFonts w:ascii="Arial" w:hAnsi="Arial" w:hint="default"/>
      </w:rPr>
    </w:lvl>
    <w:lvl w:ilvl="3" w:tplc="02FA8DA4" w:tentative="1">
      <w:start w:val="1"/>
      <w:numFmt w:val="bullet"/>
      <w:lvlText w:val="•"/>
      <w:lvlJc w:val="left"/>
      <w:pPr>
        <w:tabs>
          <w:tab w:val="num" w:pos="2880"/>
        </w:tabs>
        <w:ind w:left="2880" w:hanging="360"/>
      </w:pPr>
      <w:rPr>
        <w:rFonts w:ascii="Arial" w:hAnsi="Arial" w:hint="default"/>
      </w:rPr>
    </w:lvl>
    <w:lvl w:ilvl="4" w:tplc="67BC280E" w:tentative="1">
      <w:start w:val="1"/>
      <w:numFmt w:val="bullet"/>
      <w:lvlText w:val="•"/>
      <w:lvlJc w:val="left"/>
      <w:pPr>
        <w:tabs>
          <w:tab w:val="num" w:pos="3600"/>
        </w:tabs>
        <w:ind w:left="3600" w:hanging="360"/>
      </w:pPr>
      <w:rPr>
        <w:rFonts w:ascii="Arial" w:hAnsi="Arial" w:hint="default"/>
      </w:rPr>
    </w:lvl>
    <w:lvl w:ilvl="5" w:tplc="19D8B620" w:tentative="1">
      <w:start w:val="1"/>
      <w:numFmt w:val="bullet"/>
      <w:lvlText w:val="•"/>
      <w:lvlJc w:val="left"/>
      <w:pPr>
        <w:tabs>
          <w:tab w:val="num" w:pos="4320"/>
        </w:tabs>
        <w:ind w:left="4320" w:hanging="360"/>
      </w:pPr>
      <w:rPr>
        <w:rFonts w:ascii="Arial" w:hAnsi="Arial" w:hint="default"/>
      </w:rPr>
    </w:lvl>
    <w:lvl w:ilvl="6" w:tplc="80A49706" w:tentative="1">
      <w:start w:val="1"/>
      <w:numFmt w:val="bullet"/>
      <w:lvlText w:val="•"/>
      <w:lvlJc w:val="left"/>
      <w:pPr>
        <w:tabs>
          <w:tab w:val="num" w:pos="5040"/>
        </w:tabs>
        <w:ind w:left="5040" w:hanging="360"/>
      </w:pPr>
      <w:rPr>
        <w:rFonts w:ascii="Arial" w:hAnsi="Arial" w:hint="default"/>
      </w:rPr>
    </w:lvl>
    <w:lvl w:ilvl="7" w:tplc="32D0D23C" w:tentative="1">
      <w:start w:val="1"/>
      <w:numFmt w:val="bullet"/>
      <w:lvlText w:val="•"/>
      <w:lvlJc w:val="left"/>
      <w:pPr>
        <w:tabs>
          <w:tab w:val="num" w:pos="5760"/>
        </w:tabs>
        <w:ind w:left="5760" w:hanging="360"/>
      </w:pPr>
      <w:rPr>
        <w:rFonts w:ascii="Arial" w:hAnsi="Arial" w:hint="default"/>
      </w:rPr>
    </w:lvl>
    <w:lvl w:ilvl="8" w:tplc="F6060024"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1"/>
  </w:num>
  <w:num w:numId="3">
    <w:abstractNumId w:val="6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56"/>
  </w:num>
  <w:num w:numId="7">
    <w:abstractNumId w:val="53"/>
  </w:num>
  <w:num w:numId="8">
    <w:abstractNumId w:val="28"/>
  </w:num>
  <w:num w:numId="9">
    <w:abstractNumId w:val="14"/>
  </w:num>
  <w:num w:numId="10">
    <w:abstractNumId w:val="12"/>
  </w:num>
  <w:num w:numId="11">
    <w:abstractNumId w:val="36"/>
  </w:num>
  <w:num w:numId="12">
    <w:abstractNumId w:val="19"/>
  </w:num>
  <w:num w:numId="13">
    <w:abstractNumId w:val="30"/>
  </w:num>
  <w:num w:numId="14">
    <w:abstractNumId w:val="35"/>
  </w:num>
  <w:num w:numId="15">
    <w:abstractNumId w:val="37"/>
  </w:num>
  <w:num w:numId="16">
    <w:abstractNumId w:val="57"/>
  </w:num>
  <w:num w:numId="17">
    <w:abstractNumId w:val="55"/>
  </w:num>
  <w:num w:numId="18">
    <w:abstractNumId w:val="11"/>
  </w:num>
  <w:num w:numId="19">
    <w:abstractNumId w:val="27"/>
  </w:num>
  <w:num w:numId="20">
    <w:abstractNumId w:val="59"/>
  </w:num>
  <w:num w:numId="21">
    <w:abstractNumId w:val="1"/>
  </w:num>
  <w:num w:numId="22">
    <w:abstractNumId w:val="2"/>
  </w:num>
  <w:num w:numId="23">
    <w:abstractNumId w:val="17"/>
  </w:num>
  <w:num w:numId="24">
    <w:abstractNumId w:val="15"/>
  </w:num>
  <w:num w:numId="25">
    <w:abstractNumId w:val="51"/>
  </w:num>
  <w:num w:numId="26">
    <w:abstractNumId w:val="54"/>
  </w:num>
  <w:num w:numId="27">
    <w:abstractNumId w:val="6"/>
  </w:num>
  <w:num w:numId="28">
    <w:abstractNumId w:val="9"/>
  </w:num>
  <w:num w:numId="29">
    <w:abstractNumId w:val="41"/>
  </w:num>
  <w:num w:numId="30">
    <w:abstractNumId w:val="23"/>
  </w:num>
  <w:num w:numId="31">
    <w:abstractNumId w:val="34"/>
  </w:num>
  <w:num w:numId="32">
    <w:abstractNumId w:val="18"/>
  </w:num>
  <w:num w:numId="33">
    <w:abstractNumId w:val="60"/>
  </w:num>
  <w:num w:numId="34">
    <w:abstractNumId w:val="50"/>
  </w:num>
  <w:num w:numId="35">
    <w:abstractNumId w:val="3"/>
  </w:num>
  <w:num w:numId="36">
    <w:abstractNumId w:val="58"/>
  </w:num>
  <w:num w:numId="37">
    <w:abstractNumId w:val="13"/>
  </w:num>
  <w:num w:numId="38">
    <w:abstractNumId w:val="52"/>
  </w:num>
  <w:num w:numId="39">
    <w:abstractNumId w:val="49"/>
  </w:num>
  <w:num w:numId="40">
    <w:abstractNumId w:val="39"/>
  </w:num>
  <w:num w:numId="41">
    <w:abstractNumId w:val="32"/>
  </w:num>
  <w:num w:numId="42">
    <w:abstractNumId w:val="43"/>
  </w:num>
  <w:num w:numId="43">
    <w:abstractNumId w:val="44"/>
  </w:num>
  <w:num w:numId="44">
    <w:abstractNumId w:val="8"/>
  </w:num>
  <w:num w:numId="45">
    <w:abstractNumId w:val="47"/>
  </w:num>
  <w:num w:numId="46">
    <w:abstractNumId w:val="61"/>
  </w:num>
  <w:num w:numId="47">
    <w:abstractNumId w:val="48"/>
  </w:num>
  <w:num w:numId="48">
    <w:abstractNumId w:val="4"/>
  </w:num>
  <w:num w:numId="49">
    <w:abstractNumId w:val="25"/>
  </w:num>
  <w:num w:numId="50">
    <w:abstractNumId w:val="46"/>
  </w:num>
  <w:num w:numId="51">
    <w:abstractNumId w:val="16"/>
  </w:num>
  <w:num w:numId="52">
    <w:abstractNumId w:val="29"/>
  </w:num>
  <w:num w:numId="53">
    <w:abstractNumId w:val="7"/>
  </w:num>
  <w:num w:numId="54">
    <w:abstractNumId w:val="24"/>
  </w:num>
  <w:num w:numId="55">
    <w:abstractNumId w:val="38"/>
  </w:num>
  <w:num w:numId="56">
    <w:abstractNumId w:val="63"/>
  </w:num>
  <w:num w:numId="57">
    <w:abstractNumId w:val="45"/>
  </w:num>
  <w:num w:numId="58">
    <w:abstractNumId w:val="5"/>
  </w:num>
  <w:num w:numId="59">
    <w:abstractNumId w:val="40"/>
  </w:num>
  <w:num w:numId="60">
    <w:abstractNumId w:val="10"/>
  </w:num>
  <w:num w:numId="61">
    <w:abstractNumId w:val="22"/>
  </w:num>
  <w:num w:numId="62">
    <w:abstractNumId w:val="31"/>
  </w:num>
  <w:num w:numId="63">
    <w:abstractNumId w:val="4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5B3"/>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3DB4"/>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186"/>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1C3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17CBC"/>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17646"/>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3CE"/>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24A"/>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6C"/>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62A"/>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54"/>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890"/>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0E5"/>
    <w:rsid w:val="00BD3797"/>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03E"/>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788"/>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51B"/>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32F"/>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00A"/>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4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AF9C5C5-3770-4ECF-8202-02047E4DA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4</Pages>
  <Words>683</Words>
  <Characters>3483</Characters>
  <Application>Microsoft Office Word</Application>
  <DocSecurity>0</DocSecurity>
  <Lines>66</Lines>
  <Paragraphs>36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4161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11</cp:revision>
  <cp:lastPrinted>2011-11-09T07:49:00Z</cp:lastPrinted>
  <dcterms:created xsi:type="dcterms:W3CDTF">2018-07-25T02:31:00Z</dcterms:created>
  <dcterms:modified xsi:type="dcterms:W3CDTF">2018-08-09T03:11:00Z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ef68d260-6ce4-4659-98d2-81c2653970a1</vt:lpwstr>
  </property>
  <property fmtid="{D5CDD505-2E9C-101B-9397-08002B2CF9AE}" pid="10" name="CTP_BU">
    <vt:lpwstr>NEXT GEN AND STANDARDS GROUP</vt:lpwstr>
  </property>
  <property fmtid="{D5CDD505-2E9C-101B-9397-08002B2CF9AE}" pid="11" name="CTP_TimeStamp">
    <vt:lpwstr>2018-08-09 03:11:36Z</vt:lpwstr>
  </property>
  <property fmtid="{D5CDD505-2E9C-101B-9397-08002B2CF9AE}" pid="12" name="ContentTypeId">
    <vt:lpwstr>0x010100E7203326D341CE4C85D524438E4584D9</vt:lpwstr>
  </property>
  <property fmtid="{D5CDD505-2E9C-101B-9397-08002B2CF9AE}" pid="13" name="CTPClassification">
    <vt:lpwstr>CTP_IC</vt:lpwstr>
  </property>
</Properties>
</file>